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6" w:type="dxa"/>
        <w:tblLayout w:type="fixed"/>
        <w:tblLook w:val="0000" w:firstRow="0" w:lastRow="0" w:firstColumn="0" w:lastColumn="0" w:noHBand="0" w:noVBand="0"/>
      </w:tblPr>
      <w:tblGrid>
        <w:gridCol w:w="9856"/>
      </w:tblGrid>
      <w:tr w:rsidR="00AC2B25" w:rsidTr="00FC2D4E">
        <w:tc>
          <w:tcPr>
            <w:tcW w:w="9856" w:type="dxa"/>
            <w:shd w:val="clear" w:color="auto" w:fill="auto"/>
          </w:tcPr>
          <w:p w:rsidR="00AC2B25" w:rsidRPr="000976D9" w:rsidRDefault="00AC2B25" w:rsidP="008E7D8E">
            <w:pPr>
              <w:pStyle w:val="2"/>
              <w:shd w:val="clear" w:color="auto" w:fill="auto"/>
              <w:spacing w:before="0" w:line="240" w:lineRule="auto"/>
              <w:ind w:right="240" w:firstLine="0"/>
              <w:jc w:val="left"/>
              <w:rPr>
                <w:color w:val="0C0000"/>
                <w:sz w:val="24"/>
                <w:szCs w:val="28"/>
              </w:rPr>
            </w:pPr>
          </w:p>
        </w:tc>
      </w:tr>
    </w:tbl>
    <w:p w:rsidR="00FC2D4E" w:rsidRPr="00FC2D4E" w:rsidRDefault="00FC2D4E" w:rsidP="00FC2D4E">
      <w:pPr>
        <w:pStyle w:val="10"/>
        <w:keepNext/>
        <w:keepLines/>
        <w:spacing w:after="0"/>
        <w:ind w:left="5103"/>
        <w:rPr>
          <w:rFonts w:ascii="Times New Roman" w:hAnsi="Times New Roman"/>
          <w:szCs w:val="28"/>
          <w:lang w:val="en-US"/>
        </w:rPr>
      </w:pPr>
      <w:r w:rsidRPr="00FC2D4E">
        <w:rPr>
          <w:rFonts w:ascii="Times New Roman" w:hAnsi="Times New Roman"/>
          <w:szCs w:val="28"/>
          <w:lang w:val="en-US"/>
        </w:rPr>
        <w:t>Approved by the order of the Chairman of the Committee on Statistics of the Ministry of National Economy of the Republic of Kazakhstan</w:t>
      </w:r>
    </w:p>
    <w:p w:rsidR="00FC2D4E" w:rsidRPr="00FC2D4E" w:rsidRDefault="00FC2D4E" w:rsidP="00FC2D4E">
      <w:pPr>
        <w:pStyle w:val="10"/>
        <w:keepNext/>
        <w:keepLines/>
        <w:spacing w:after="0"/>
        <w:ind w:left="5103"/>
        <w:rPr>
          <w:rFonts w:ascii="Times New Roman" w:hAnsi="Times New Roman"/>
          <w:szCs w:val="28"/>
        </w:rPr>
      </w:pPr>
      <w:r w:rsidRPr="00FC2D4E">
        <w:rPr>
          <w:rFonts w:ascii="Times New Roman" w:hAnsi="Times New Roman"/>
          <w:szCs w:val="28"/>
        </w:rPr>
        <w:t>October 30, 2015</w:t>
      </w:r>
    </w:p>
    <w:p w:rsidR="00AC2B25" w:rsidRPr="0043761D" w:rsidRDefault="00FC2D4E" w:rsidP="00FC2D4E">
      <w:pPr>
        <w:pStyle w:val="10"/>
        <w:keepNext/>
        <w:keepLines/>
        <w:shd w:val="clear" w:color="auto" w:fill="auto"/>
        <w:spacing w:after="0" w:line="240" w:lineRule="auto"/>
        <w:ind w:left="5103"/>
        <w:rPr>
          <w:rFonts w:ascii="Times New Roman" w:hAnsi="Times New Roman"/>
        </w:rPr>
      </w:pPr>
      <w:r w:rsidRPr="00FC2D4E">
        <w:rPr>
          <w:rFonts w:ascii="Times New Roman" w:hAnsi="Times New Roman"/>
          <w:szCs w:val="28"/>
        </w:rPr>
        <w:t>no. 171</w:t>
      </w:r>
      <w:r w:rsidR="00AC2B25" w:rsidRPr="0043761D">
        <w:rPr>
          <w:rFonts w:ascii="Times New Roman" w:hAnsi="Times New Roman"/>
        </w:rPr>
        <w:t xml:space="preserve">   </w:t>
      </w:r>
    </w:p>
    <w:p w:rsidR="00AC2B25" w:rsidRPr="0043761D" w:rsidRDefault="00AC2B25" w:rsidP="00AC2B25">
      <w:pPr>
        <w:pStyle w:val="2"/>
        <w:shd w:val="clear" w:color="auto" w:fill="auto"/>
        <w:spacing w:before="0" w:line="260" w:lineRule="exact"/>
        <w:ind w:firstLine="0"/>
        <w:rPr>
          <w:sz w:val="28"/>
          <w:szCs w:val="28"/>
        </w:rPr>
      </w:pPr>
    </w:p>
    <w:p w:rsidR="00AC2B25" w:rsidRPr="0043761D" w:rsidRDefault="00AC2B25" w:rsidP="00AC2B25">
      <w:pPr>
        <w:pStyle w:val="2"/>
        <w:shd w:val="clear" w:color="auto" w:fill="auto"/>
        <w:spacing w:before="0" w:line="260" w:lineRule="exact"/>
        <w:ind w:firstLine="0"/>
        <w:rPr>
          <w:sz w:val="28"/>
          <w:szCs w:val="28"/>
        </w:rPr>
      </w:pPr>
    </w:p>
    <w:p w:rsidR="00AC2B25" w:rsidRPr="00FC2D4E" w:rsidRDefault="00FC2D4E" w:rsidP="00AC2B25">
      <w:pPr>
        <w:widowControl/>
        <w:jc w:val="center"/>
        <w:rPr>
          <w:rFonts w:ascii="Times New Roman" w:hAnsi="Times New Roman" w:cs="Times New Roman"/>
          <w:b/>
          <w:bCs/>
          <w:color w:val="auto"/>
          <w:sz w:val="28"/>
          <w:szCs w:val="28"/>
          <w:lang w:val="en-US"/>
        </w:rPr>
      </w:pPr>
      <w:r w:rsidRPr="00FC2D4E">
        <w:rPr>
          <w:rFonts w:ascii="Times New Roman" w:hAnsi="Times New Roman" w:cs="Times New Roman"/>
          <w:b/>
          <w:bCs/>
          <w:color w:val="auto"/>
          <w:sz w:val="28"/>
          <w:szCs w:val="28"/>
          <w:lang w:val="en-US"/>
        </w:rPr>
        <w:t>Methodology for accounting for changes in inventories</w:t>
      </w:r>
    </w:p>
    <w:p w:rsidR="00AC2B25" w:rsidRPr="00FC2D4E" w:rsidRDefault="00AC2B25" w:rsidP="00AC2B25">
      <w:pPr>
        <w:pStyle w:val="2"/>
        <w:shd w:val="clear" w:color="auto" w:fill="auto"/>
        <w:spacing w:before="0" w:line="260" w:lineRule="exact"/>
        <w:ind w:firstLine="0"/>
        <w:rPr>
          <w:sz w:val="28"/>
          <w:szCs w:val="28"/>
          <w:lang w:val="en-US"/>
        </w:rPr>
      </w:pPr>
    </w:p>
    <w:p w:rsidR="00AC2B25" w:rsidRPr="0043761D" w:rsidRDefault="00AC2B25" w:rsidP="00AC2B25">
      <w:pPr>
        <w:pStyle w:val="2"/>
        <w:numPr>
          <w:ilvl w:val="0"/>
          <w:numId w:val="1"/>
        </w:numPr>
        <w:shd w:val="clear" w:color="auto" w:fill="auto"/>
        <w:spacing w:before="0" w:line="240" w:lineRule="auto"/>
        <w:ind w:right="20"/>
        <w:rPr>
          <w:b/>
          <w:bCs/>
          <w:sz w:val="28"/>
          <w:szCs w:val="28"/>
        </w:rPr>
      </w:pPr>
      <w:r w:rsidRPr="0043761D">
        <w:rPr>
          <w:b/>
          <w:bCs/>
          <w:sz w:val="28"/>
          <w:szCs w:val="28"/>
          <w:lang w:val="kk-KZ"/>
        </w:rPr>
        <w:t>General provisions</w:t>
      </w:r>
    </w:p>
    <w:p w:rsidR="00AC2B25" w:rsidRPr="0043761D" w:rsidRDefault="00AC2B25" w:rsidP="00AC2B25">
      <w:pPr>
        <w:pStyle w:val="2"/>
        <w:shd w:val="clear" w:color="auto" w:fill="auto"/>
        <w:spacing w:before="0" w:line="240" w:lineRule="auto"/>
        <w:ind w:right="20" w:firstLine="851"/>
        <w:rPr>
          <w:sz w:val="28"/>
          <w:szCs w:val="28"/>
        </w:rPr>
      </w:pPr>
    </w:p>
    <w:p w:rsidR="00AC2B25" w:rsidRPr="0043761D" w:rsidRDefault="00AC2B25" w:rsidP="00AC2B25">
      <w:pPr>
        <w:pStyle w:val="2"/>
        <w:numPr>
          <w:ilvl w:val="0"/>
          <w:numId w:val="2"/>
        </w:numPr>
        <w:shd w:val="clear" w:color="auto" w:fill="auto"/>
        <w:tabs>
          <w:tab w:val="left" w:pos="993"/>
        </w:tabs>
        <w:spacing w:before="0" w:line="240" w:lineRule="auto"/>
        <w:ind w:left="0" w:firstLine="709"/>
        <w:jc w:val="both"/>
        <w:rPr>
          <w:sz w:val="28"/>
          <w:szCs w:val="28"/>
        </w:rPr>
      </w:pPr>
      <w:r w:rsidRPr="0043761D">
        <w:rPr>
          <w:sz w:val="28"/>
          <w:szCs w:val="28"/>
        </w:rPr>
        <w:t>The methodology for accounting for changes in inventories (hereinafter - Methodology) was developed taking into account the principles and recommendations of the System of National Accounts 2008 (hereinafter - SNA-2008), prepared by the International Monetary Fund (IMF), the Organization for Economic Cooperation and Development (OECD), the Bureau of Statistics European Communities (Eurostat), the United Nations (UN) and the World Bank.</w:t>
      </w:r>
    </w:p>
    <w:p w:rsidR="00AC2B25" w:rsidRPr="0043761D" w:rsidRDefault="00AC2B25" w:rsidP="00AC2B25">
      <w:pPr>
        <w:widowControl/>
        <w:numPr>
          <w:ilvl w:val="0"/>
          <w:numId w:val="2"/>
        </w:numPr>
        <w:tabs>
          <w:tab w:val="left" w:pos="284"/>
          <w:tab w:val="left" w:pos="993"/>
        </w:tabs>
        <w:ind w:left="0" w:firstLine="709"/>
        <w:jc w:val="both"/>
        <w:rPr>
          <w:rFonts w:ascii="Times New Roman" w:hAnsi="Times New Roman"/>
          <w:sz w:val="28"/>
          <w:szCs w:val="28"/>
        </w:rPr>
      </w:pPr>
      <w:r w:rsidRPr="0043761D">
        <w:rPr>
          <w:rFonts w:ascii="Times New Roman" w:hAnsi="Times New Roman"/>
          <w:sz w:val="28"/>
          <w:szCs w:val="28"/>
        </w:rPr>
        <w:t xml:space="preserve">This Methodology is intended for use by the Committee on Statistics of the Ministry of National Economy of the Republic of Kazakhstan </w:t>
      </w:r>
      <w:r w:rsidRPr="0043761D">
        <w:rPr>
          <w:rFonts w:ascii="Times New Roman" w:hAnsi="Times New Roman"/>
          <w:sz w:val="28"/>
          <w:szCs w:val="28"/>
          <w:lang w:val="kk-KZ"/>
        </w:rPr>
        <w:t xml:space="preserve">when </w:t>
      </w:r>
      <w:r w:rsidRPr="0043761D">
        <w:rPr>
          <w:rFonts w:ascii="Times New Roman" w:hAnsi="Times New Roman"/>
          <w:sz w:val="28"/>
          <w:szCs w:val="28"/>
        </w:rPr>
        <w:t xml:space="preserve">compiling the capital account in accordance with international standards and is used exclusively for the purposes of the System of National Accounts </w:t>
      </w:r>
      <w:r w:rsidRPr="0043761D">
        <w:rPr>
          <w:rFonts w:ascii="Times New Roman" w:hAnsi="Times New Roman"/>
          <w:sz w:val="28"/>
          <w:szCs w:val="28"/>
          <w:lang w:val="kk-KZ"/>
        </w:rPr>
        <w:t>.</w:t>
      </w:r>
    </w:p>
    <w:p w:rsidR="00AC2B25" w:rsidRPr="0043761D" w:rsidRDefault="00AC2B25" w:rsidP="00AC2B25">
      <w:pPr>
        <w:pStyle w:val="2"/>
        <w:numPr>
          <w:ilvl w:val="0"/>
          <w:numId w:val="2"/>
        </w:numPr>
        <w:shd w:val="clear" w:color="auto" w:fill="auto"/>
        <w:tabs>
          <w:tab w:val="left" w:pos="993"/>
        </w:tabs>
        <w:spacing w:before="0" w:line="240" w:lineRule="auto"/>
        <w:ind w:left="0" w:firstLine="709"/>
        <w:jc w:val="both"/>
        <w:rPr>
          <w:sz w:val="28"/>
          <w:szCs w:val="28"/>
        </w:rPr>
      </w:pPr>
      <w:r w:rsidRPr="0043761D">
        <w:rPr>
          <w:sz w:val="28"/>
          <w:szCs w:val="28"/>
        </w:rPr>
        <w:t>The purpose of this Methodology is to determine approaches for calculating indicators characterizing changes in inventories, as well as</w:t>
      </w:r>
      <w:r w:rsidRPr="0043761D">
        <w:t xml:space="preserve"> </w:t>
      </w:r>
      <w:r w:rsidRPr="0043761D">
        <w:rPr>
          <w:sz w:val="28"/>
          <w:szCs w:val="28"/>
        </w:rPr>
        <w:t>improving the quality of calculations of macroeconomic indicators as part of the implementation of SNA-2008.</w:t>
      </w:r>
    </w:p>
    <w:p w:rsidR="00AC2B25" w:rsidRPr="0043761D" w:rsidRDefault="00AC2B25" w:rsidP="00AC2B25">
      <w:pPr>
        <w:pStyle w:val="2"/>
        <w:numPr>
          <w:ilvl w:val="0"/>
          <w:numId w:val="2"/>
        </w:numPr>
        <w:shd w:val="clear" w:color="auto" w:fill="auto"/>
        <w:tabs>
          <w:tab w:val="left" w:pos="993"/>
        </w:tabs>
        <w:spacing w:before="0" w:line="240" w:lineRule="auto"/>
        <w:ind w:left="0" w:firstLine="709"/>
        <w:jc w:val="both"/>
        <w:rPr>
          <w:sz w:val="28"/>
          <w:szCs w:val="28"/>
        </w:rPr>
      </w:pPr>
      <w:r w:rsidRPr="0043761D">
        <w:rPr>
          <w:sz w:val="28"/>
          <w:szCs w:val="28"/>
        </w:rPr>
        <w:t>This Methodology uses the main definitions:</w:t>
      </w:r>
    </w:p>
    <w:p w:rsidR="00AC2B25" w:rsidRPr="0043761D" w:rsidRDefault="00AC2B25" w:rsidP="00AC2B25">
      <w:pPr>
        <w:numPr>
          <w:ilvl w:val="0"/>
          <w:numId w:val="4"/>
        </w:numPr>
        <w:tabs>
          <w:tab w:val="left" w:pos="0"/>
          <w:tab w:val="left" w:pos="993"/>
        </w:tabs>
        <w:ind w:left="0" w:firstLine="709"/>
        <w:jc w:val="both"/>
        <w:rPr>
          <w:rFonts w:ascii="Times New Roman" w:hAnsi="Times New Roman" w:cs="Times New Roman"/>
          <w:color w:val="auto"/>
          <w:sz w:val="28"/>
          <w:szCs w:val="28"/>
        </w:rPr>
      </w:pPr>
      <w:r w:rsidRPr="0043761D">
        <w:rPr>
          <w:rFonts w:ascii="Times New Roman" w:hAnsi="Times New Roman" w:cs="Times New Roman"/>
          <w:sz w:val="28"/>
          <w:szCs w:val="28"/>
        </w:rPr>
        <w:t xml:space="preserve">work in progress </w:t>
      </w:r>
      <w:r w:rsidRPr="0043761D">
        <w:rPr>
          <w:rFonts w:ascii="Times New Roman" w:hAnsi="Times New Roman" w:cs="Times New Roman"/>
          <w:color w:val="auto"/>
          <w:sz w:val="28"/>
          <w:szCs w:val="28"/>
        </w:rPr>
        <w:t xml:space="preserve">is </w:t>
      </w:r>
      <w:r w:rsidRPr="0043761D">
        <w:rPr>
          <w:rFonts w:ascii="Times New Roman" w:hAnsi="Times New Roman" w:cs="Times New Roman"/>
          <w:sz w:val="28"/>
          <w:szCs w:val="28"/>
        </w:rPr>
        <w:t xml:space="preserve">the output produced by an enterprise that is not yet sufficiently processed to be in the state in which it is supplied to other institutional units. Work -in </w:t>
      </w:r>
      <w:r w:rsidRPr="0043761D">
        <w:rPr>
          <w:rFonts w:ascii="Times New Roman" w:hAnsi="Times New Roman" w:cs="Times New Roman"/>
          <w:color w:val="auto"/>
          <w:sz w:val="28"/>
          <w:szCs w:val="28"/>
        </w:rPr>
        <w:t>-progress is subdivided into work-in-progress of cultivated biological resources and other work-in-progress.</w:t>
      </w:r>
    </w:p>
    <w:p w:rsidR="00AC2B25" w:rsidRPr="0043761D" w:rsidRDefault="00AC2B25" w:rsidP="00AC2B25">
      <w:pPr>
        <w:pStyle w:val="Default"/>
        <w:numPr>
          <w:ilvl w:val="0"/>
          <w:numId w:val="4"/>
        </w:numPr>
        <w:tabs>
          <w:tab w:val="left" w:pos="0"/>
          <w:tab w:val="left" w:pos="993"/>
        </w:tabs>
        <w:ind w:left="0" w:firstLine="709"/>
        <w:jc w:val="both"/>
        <w:rPr>
          <w:rFonts w:ascii="Times New Roman" w:hAnsi="Times New Roman" w:cs="Times New Roman"/>
          <w:sz w:val="28"/>
          <w:szCs w:val="28"/>
        </w:rPr>
      </w:pPr>
      <w:r w:rsidRPr="0043761D">
        <w:rPr>
          <w:rFonts w:ascii="Times New Roman" w:hAnsi="Times New Roman" w:cs="Times New Roman"/>
          <w:sz w:val="28"/>
          <w:szCs w:val="28"/>
        </w:rPr>
        <w:t>military tangible assets</w:t>
      </w:r>
      <w:r w:rsidRPr="0043761D">
        <w:rPr>
          <w:rFonts w:ascii="Times New Roman" w:hAnsi="Times New Roman" w:cs="Times New Roman"/>
          <w:i/>
          <w:iCs/>
          <w:sz w:val="28"/>
          <w:szCs w:val="28"/>
        </w:rPr>
        <w:t xml:space="preserve"> </w:t>
      </w:r>
      <w:r w:rsidRPr="0043761D">
        <w:rPr>
          <w:rFonts w:ascii="Times New Roman" w:hAnsi="Times New Roman" w:cs="Times New Roman"/>
          <w:color w:val="auto"/>
          <w:sz w:val="28"/>
          <w:szCs w:val="28"/>
        </w:rPr>
        <w:t xml:space="preserve">- These are </w:t>
      </w:r>
      <w:r w:rsidRPr="0043761D">
        <w:rPr>
          <w:rFonts w:ascii="Times New Roman" w:hAnsi="Times New Roman" w:cs="Times New Roman"/>
          <w:sz w:val="28"/>
          <w:szCs w:val="28"/>
        </w:rPr>
        <w:t>disposable objects such as ammunition, projectiles, rockets, bombs delivered by weapons or weapons systems;</w:t>
      </w:r>
    </w:p>
    <w:p w:rsidR="00AC2B25" w:rsidRPr="0043761D" w:rsidRDefault="00AC2B25" w:rsidP="00AC2B25">
      <w:pPr>
        <w:pStyle w:val="Default"/>
        <w:numPr>
          <w:ilvl w:val="0"/>
          <w:numId w:val="4"/>
        </w:numPr>
        <w:tabs>
          <w:tab w:val="left" w:pos="993"/>
        </w:tabs>
        <w:ind w:left="0" w:firstLine="709"/>
        <w:jc w:val="both"/>
        <w:rPr>
          <w:rFonts w:ascii="Times New Roman" w:hAnsi="Times New Roman" w:cs="Times New Roman"/>
          <w:sz w:val="28"/>
          <w:szCs w:val="28"/>
        </w:rPr>
      </w:pPr>
      <w:r w:rsidRPr="0043761D">
        <w:rPr>
          <w:rFonts w:ascii="Times New Roman" w:hAnsi="Times New Roman" w:cs="Times New Roman"/>
          <w:sz w:val="28"/>
          <w:szCs w:val="28"/>
        </w:rPr>
        <w:t xml:space="preserve">other work in progress </w:t>
      </w:r>
      <w:r w:rsidRPr="0043761D">
        <w:rPr>
          <w:rFonts w:ascii="Times New Roman" w:hAnsi="Times New Roman" w:cs="Times New Roman"/>
          <w:color w:val="auto"/>
          <w:sz w:val="28"/>
          <w:szCs w:val="28"/>
        </w:rPr>
        <w:t xml:space="preserve">is </w:t>
      </w:r>
      <w:r w:rsidRPr="0043761D">
        <w:rPr>
          <w:rFonts w:ascii="Times New Roman" w:hAnsi="Times New Roman" w:cs="Times New Roman"/>
          <w:sz w:val="28"/>
          <w:szCs w:val="28"/>
        </w:rPr>
        <w:t>the output of products (other than cultivated biological resources) that is not yet sufficiently processed to be in the state in which it is supplied to other institutional units;</w:t>
      </w:r>
    </w:p>
    <w:p w:rsidR="00AC2B25" w:rsidRPr="0043761D" w:rsidRDefault="00AC2B25" w:rsidP="00AC2B25">
      <w:pPr>
        <w:pStyle w:val="Default"/>
        <w:numPr>
          <w:ilvl w:val="0"/>
          <w:numId w:val="4"/>
        </w:numPr>
        <w:tabs>
          <w:tab w:val="left" w:pos="0"/>
          <w:tab w:val="left" w:pos="993"/>
        </w:tabs>
        <w:ind w:left="0" w:firstLine="709"/>
        <w:jc w:val="both"/>
        <w:rPr>
          <w:rFonts w:ascii="Times New Roman" w:hAnsi="Times New Roman" w:cs="Times New Roman"/>
          <w:sz w:val="28"/>
          <w:szCs w:val="28"/>
        </w:rPr>
      </w:pPr>
      <w:r w:rsidRPr="0043761D">
        <w:rPr>
          <w:rFonts w:ascii="Times New Roman" w:hAnsi="Times New Roman" w:cs="Times New Roman"/>
          <w:sz w:val="28"/>
          <w:szCs w:val="28"/>
        </w:rPr>
        <w:t xml:space="preserve">finished goods </w:t>
      </w:r>
      <w:r w:rsidRPr="0043761D">
        <w:rPr>
          <w:rFonts w:ascii="Times New Roman" w:hAnsi="Times New Roman" w:cs="Times New Roman"/>
          <w:color w:val="auto"/>
          <w:sz w:val="28"/>
          <w:szCs w:val="28"/>
        </w:rPr>
        <w:t xml:space="preserve">are </w:t>
      </w:r>
      <w:r w:rsidRPr="0043761D">
        <w:rPr>
          <w:rFonts w:ascii="Times New Roman" w:hAnsi="Times New Roman" w:cs="Times New Roman"/>
          <w:sz w:val="28"/>
          <w:szCs w:val="28"/>
        </w:rPr>
        <w:t>manufactured goods that the producer does not intend to undergo further processing before supplying them to other institutional units;</w:t>
      </w:r>
    </w:p>
    <w:p w:rsidR="00AC2B25" w:rsidRPr="0043761D" w:rsidRDefault="00AC2B25" w:rsidP="00AC2B25">
      <w:pPr>
        <w:pStyle w:val="Default"/>
        <w:numPr>
          <w:ilvl w:val="0"/>
          <w:numId w:val="4"/>
        </w:numPr>
        <w:tabs>
          <w:tab w:val="left" w:pos="0"/>
          <w:tab w:val="left" w:pos="993"/>
        </w:tabs>
        <w:ind w:left="0" w:firstLine="709"/>
        <w:jc w:val="both"/>
        <w:rPr>
          <w:rFonts w:ascii="Times New Roman" w:hAnsi="Times New Roman" w:cs="Times New Roman"/>
          <w:sz w:val="28"/>
          <w:szCs w:val="28"/>
        </w:rPr>
      </w:pPr>
      <w:r w:rsidRPr="0043761D">
        <w:rPr>
          <w:rFonts w:ascii="Times New Roman" w:hAnsi="Times New Roman" w:cs="Times New Roman"/>
          <w:sz w:val="28"/>
          <w:szCs w:val="28"/>
        </w:rPr>
        <w:t>goods for resale are goods purchased by businesses, such as wholesalers or retailers, for the purpose of reselling them to customers;</w:t>
      </w:r>
    </w:p>
    <w:p w:rsidR="00AC2B25" w:rsidRPr="0043761D" w:rsidRDefault="00AC2B25" w:rsidP="00AC2B25">
      <w:pPr>
        <w:pStyle w:val="Default"/>
        <w:numPr>
          <w:ilvl w:val="0"/>
          <w:numId w:val="4"/>
        </w:numPr>
        <w:tabs>
          <w:tab w:val="left" w:pos="0"/>
          <w:tab w:val="left" w:pos="993"/>
        </w:tabs>
        <w:ind w:left="0" w:firstLine="709"/>
        <w:jc w:val="both"/>
        <w:rPr>
          <w:rFonts w:ascii="Times New Roman" w:hAnsi="Times New Roman" w:cs="Times New Roman"/>
          <w:sz w:val="28"/>
          <w:szCs w:val="28"/>
        </w:rPr>
      </w:pPr>
      <w:r w:rsidRPr="0043761D">
        <w:rPr>
          <w:rFonts w:ascii="Times New Roman" w:hAnsi="Times New Roman" w:cs="Times New Roman"/>
          <w:color w:val="auto"/>
          <w:sz w:val="28"/>
          <w:szCs w:val="28"/>
        </w:rPr>
        <w:t>tangible assets are produced assets consisting of goods and services that appeared in the current period or an earlier period and are intended for sale, use in production or for other uses at a later date;</w:t>
      </w:r>
    </w:p>
    <w:p w:rsidR="00AC2B25" w:rsidRPr="0043761D" w:rsidRDefault="00AC2B25" w:rsidP="00AC2B25">
      <w:pPr>
        <w:numPr>
          <w:ilvl w:val="0"/>
          <w:numId w:val="4"/>
        </w:numPr>
        <w:tabs>
          <w:tab w:val="left" w:pos="0"/>
          <w:tab w:val="left" w:pos="993"/>
        </w:tabs>
        <w:ind w:left="0" w:firstLine="709"/>
        <w:jc w:val="both"/>
        <w:rPr>
          <w:rFonts w:ascii="Times New Roman" w:hAnsi="Times New Roman" w:cs="Times New Roman"/>
          <w:sz w:val="28"/>
          <w:szCs w:val="28"/>
        </w:rPr>
      </w:pPr>
      <w:r w:rsidRPr="0043761D">
        <w:rPr>
          <w:rFonts w:ascii="Times New Roman" w:hAnsi="Times New Roman" w:cs="Times New Roman"/>
          <w:sz w:val="28"/>
          <w:szCs w:val="28"/>
        </w:rPr>
        <w:t xml:space="preserve">work in progress of cultivated biological resources </w:t>
      </w:r>
      <w:r w:rsidRPr="0043761D">
        <w:rPr>
          <w:rFonts w:ascii="Times New Roman" w:hAnsi="Times New Roman" w:cs="Times New Roman"/>
          <w:color w:val="auto"/>
          <w:sz w:val="28"/>
          <w:szCs w:val="28"/>
        </w:rPr>
        <w:t xml:space="preserve">is </w:t>
      </w:r>
      <w:r w:rsidRPr="0043761D">
        <w:rPr>
          <w:rFonts w:ascii="Times New Roman" w:hAnsi="Times New Roman" w:cs="Times New Roman"/>
          <w:sz w:val="28"/>
          <w:szCs w:val="28"/>
        </w:rPr>
        <w:t xml:space="preserve">the release of resources </w:t>
      </w:r>
      <w:r w:rsidRPr="0043761D">
        <w:rPr>
          <w:rFonts w:ascii="Times New Roman" w:hAnsi="Times New Roman" w:cs="Times New Roman"/>
          <w:sz w:val="28"/>
          <w:szCs w:val="28"/>
        </w:rPr>
        <w:lastRenderedPageBreak/>
        <w:t>that have not yet reached the productive state in which they are supplied to other institutional units;</w:t>
      </w:r>
    </w:p>
    <w:p w:rsidR="00AC2B25" w:rsidRPr="0043761D" w:rsidRDefault="00AC2B25" w:rsidP="00AC2B25">
      <w:pPr>
        <w:pStyle w:val="Default"/>
        <w:numPr>
          <w:ilvl w:val="0"/>
          <w:numId w:val="4"/>
        </w:numPr>
        <w:tabs>
          <w:tab w:val="left" w:pos="0"/>
          <w:tab w:val="left" w:pos="993"/>
        </w:tabs>
        <w:ind w:left="0" w:firstLine="709"/>
        <w:jc w:val="both"/>
        <w:rPr>
          <w:rFonts w:ascii="Times New Roman" w:hAnsi="Times New Roman" w:cs="Times New Roman"/>
          <w:color w:val="auto"/>
          <w:sz w:val="28"/>
          <w:szCs w:val="28"/>
        </w:rPr>
      </w:pPr>
      <w:r w:rsidRPr="0043761D">
        <w:rPr>
          <w:rFonts w:ascii="Times New Roman" w:hAnsi="Times New Roman" w:cs="Times New Roman"/>
          <w:color w:val="auto"/>
          <w:sz w:val="28"/>
          <w:szCs w:val="28"/>
        </w:rPr>
        <w:t>raw materials and materials are products that are held by the enterprise in inventories and are used as intermediate consumption in production.</w:t>
      </w:r>
    </w:p>
    <w:p w:rsidR="00AC2B25" w:rsidRPr="0043761D" w:rsidRDefault="00AC2B25" w:rsidP="00AC2B25">
      <w:pPr>
        <w:widowControl/>
        <w:autoSpaceDE w:val="0"/>
        <w:autoSpaceDN w:val="0"/>
        <w:adjustRightInd w:val="0"/>
        <w:ind w:firstLine="709"/>
        <w:jc w:val="both"/>
        <w:rPr>
          <w:rFonts w:ascii="Times New Roman" w:hAnsi="Times New Roman" w:cs="Times New Roman"/>
          <w:color w:val="auto"/>
          <w:sz w:val="28"/>
          <w:szCs w:val="28"/>
        </w:rPr>
      </w:pPr>
    </w:p>
    <w:p w:rsidR="00AC2B25" w:rsidRPr="0043761D" w:rsidRDefault="00AC2B25" w:rsidP="00AC2B25">
      <w:pPr>
        <w:widowControl/>
        <w:autoSpaceDE w:val="0"/>
        <w:autoSpaceDN w:val="0"/>
        <w:adjustRightInd w:val="0"/>
        <w:ind w:firstLine="709"/>
        <w:jc w:val="both"/>
        <w:rPr>
          <w:rFonts w:ascii="Times New Roman" w:hAnsi="Times New Roman" w:cs="Times New Roman"/>
          <w:color w:val="auto"/>
          <w:sz w:val="28"/>
          <w:szCs w:val="28"/>
        </w:rPr>
      </w:pPr>
    </w:p>
    <w:p w:rsidR="00AC2B25" w:rsidRPr="00FC2D4E" w:rsidRDefault="00FC2D4E" w:rsidP="00FC2D4E">
      <w:pPr>
        <w:pStyle w:val="50"/>
        <w:numPr>
          <w:ilvl w:val="0"/>
          <w:numId w:val="1"/>
        </w:numPr>
        <w:shd w:val="clear" w:color="auto" w:fill="auto"/>
        <w:tabs>
          <w:tab w:val="left" w:pos="567"/>
        </w:tabs>
        <w:spacing w:before="0" w:after="0" w:line="240" w:lineRule="auto"/>
        <w:jc w:val="center"/>
        <w:rPr>
          <w:b/>
          <w:bCs/>
          <w:spacing w:val="0"/>
          <w:sz w:val="28"/>
          <w:szCs w:val="28"/>
          <w:lang w:val="en-US"/>
        </w:rPr>
      </w:pPr>
      <w:r w:rsidRPr="00FC2D4E">
        <w:rPr>
          <w:b/>
          <w:bCs/>
          <w:spacing w:val="0"/>
          <w:sz w:val="28"/>
          <w:szCs w:val="28"/>
          <w:lang w:val="en-US"/>
        </w:rPr>
        <w:t>Accounting procedure for changes in inventories according to SNA-2008</w:t>
      </w:r>
    </w:p>
    <w:p w:rsidR="00AC2B25" w:rsidRPr="0043761D" w:rsidRDefault="00AC2B25" w:rsidP="00AC2B25">
      <w:pPr>
        <w:widowControl/>
        <w:numPr>
          <w:ilvl w:val="0"/>
          <w:numId w:val="2"/>
        </w:numPr>
        <w:tabs>
          <w:tab w:val="left" w:pos="1134"/>
        </w:tabs>
        <w:autoSpaceDE w:val="0"/>
        <w:autoSpaceDN w:val="0"/>
        <w:adjustRightInd w:val="0"/>
        <w:ind w:left="0" w:firstLine="709"/>
        <w:jc w:val="both"/>
        <w:rPr>
          <w:rFonts w:ascii="Times New Roman" w:hAnsi="Times New Roman" w:cs="Times New Roman"/>
          <w:sz w:val="28"/>
          <w:szCs w:val="28"/>
          <w:lang w:eastAsia="en-US"/>
        </w:rPr>
      </w:pPr>
      <w:r w:rsidRPr="0043761D">
        <w:rPr>
          <w:rFonts w:ascii="Times New Roman" w:hAnsi="Times New Roman" w:cs="Times New Roman"/>
          <w:sz w:val="28"/>
          <w:szCs w:val="28"/>
          <w:lang w:eastAsia="en-US"/>
        </w:rPr>
        <w:t>The change in inventories is defined as the value of additions to inventories less the value of disposals from inventories and less the value of any current losses of goods held in inventories during the reporting period.</w:t>
      </w:r>
    </w:p>
    <w:p w:rsidR="00AC2B25" w:rsidRPr="0043761D" w:rsidRDefault="00AC2B25" w:rsidP="00AC2B25">
      <w:pPr>
        <w:widowControl/>
        <w:numPr>
          <w:ilvl w:val="0"/>
          <w:numId w:val="2"/>
        </w:numPr>
        <w:tabs>
          <w:tab w:val="left" w:pos="1134"/>
        </w:tabs>
        <w:autoSpaceDE w:val="0"/>
        <w:autoSpaceDN w:val="0"/>
        <w:adjustRightInd w:val="0"/>
        <w:ind w:left="0" w:firstLine="709"/>
        <w:jc w:val="both"/>
        <w:rPr>
          <w:rFonts w:ascii="Times New Roman" w:hAnsi="Times New Roman" w:cs="Times New Roman"/>
          <w:sz w:val="28"/>
          <w:szCs w:val="28"/>
          <w:lang w:eastAsia="en-US"/>
        </w:rPr>
      </w:pPr>
      <w:r w:rsidRPr="0043761D">
        <w:rPr>
          <w:rFonts w:ascii="Times New Roman" w:hAnsi="Times New Roman" w:cs="Times New Roman"/>
          <w:color w:val="auto"/>
          <w:sz w:val="28"/>
          <w:szCs w:val="28"/>
        </w:rPr>
        <w:t>At the same time, they are evaluated at market prices that are valid at the time of receipt or withdrawal, respectively. Inventories of purchased inventories are valued at purchasers' prices. Stocks of material circulating assets of own production are valued at basic prices.</w:t>
      </w:r>
    </w:p>
    <w:p w:rsidR="00AC2B25" w:rsidRPr="0043761D" w:rsidRDefault="00AC2B25" w:rsidP="00AC2B25">
      <w:pPr>
        <w:widowControl/>
        <w:numPr>
          <w:ilvl w:val="0"/>
          <w:numId w:val="2"/>
        </w:numPr>
        <w:tabs>
          <w:tab w:val="left" w:pos="1134"/>
        </w:tabs>
        <w:autoSpaceDE w:val="0"/>
        <w:autoSpaceDN w:val="0"/>
        <w:adjustRightInd w:val="0"/>
        <w:ind w:left="0" w:firstLine="709"/>
        <w:jc w:val="both"/>
        <w:rPr>
          <w:rFonts w:ascii="Times New Roman" w:hAnsi="Times New Roman" w:cs="Times New Roman"/>
          <w:sz w:val="28"/>
          <w:szCs w:val="28"/>
          <w:lang w:eastAsia="en-US"/>
        </w:rPr>
      </w:pPr>
      <w:r w:rsidRPr="0043761D">
        <w:rPr>
          <w:rFonts w:ascii="Times New Roman" w:hAnsi="Times New Roman" w:cs="Times New Roman"/>
          <w:sz w:val="28"/>
          <w:szCs w:val="28"/>
        </w:rPr>
        <w:t xml:space="preserve">The change in inventories is the sum of raw materials, finished products, military inventories </w:t>
      </w:r>
      <w:r w:rsidRPr="0043761D">
        <w:rPr>
          <w:rFonts w:ascii="Times New Roman" w:hAnsi="Times New Roman" w:cs="Times New Roman"/>
          <w:sz w:val="28"/>
          <w:szCs w:val="28"/>
          <w:lang w:val="kk-KZ"/>
        </w:rPr>
        <w:t xml:space="preserve">, </w:t>
      </w:r>
      <w:r w:rsidRPr="0043761D">
        <w:rPr>
          <w:rFonts w:ascii="Times New Roman" w:hAnsi="Times New Roman" w:cs="Times New Roman"/>
          <w:sz w:val="28"/>
          <w:szCs w:val="28"/>
        </w:rPr>
        <w:t xml:space="preserve">goods for resale </w:t>
      </w:r>
      <w:r w:rsidRPr="0043761D">
        <w:rPr>
          <w:rFonts w:ascii="Times New Roman" w:hAnsi="Times New Roman" w:cs="Times New Roman"/>
          <w:sz w:val="28"/>
          <w:szCs w:val="28"/>
          <w:lang w:val="kk-KZ"/>
        </w:rPr>
        <w:t xml:space="preserve">, </w:t>
      </w:r>
      <w:r w:rsidRPr="0043761D">
        <w:rPr>
          <w:rFonts w:ascii="Times New Roman" w:hAnsi="Times New Roman" w:cs="Times New Roman"/>
          <w:sz w:val="28"/>
          <w:szCs w:val="28"/>
        </w:rPr>
        <w:t xml:space="preserve">work in progress, work in progress of cultivated biological resources, </w:t>
      </w:r>
      <w:r w:rsidRPr="0043761D">
        <w:rPr>
          <w:rFonts w:ascii="Times New Roman" w:hAnsi="Times New Roman" w:cs="Times New Roman"/>
          <w:sz w:val="28"/>
          <w:szCs w:val="28"/>
          <w:lang w:val="kk-KZ"/>
        </w:rPr>
        <w:t xml:space="preserve">and </w:t>
      </w:r>
      <w:r w:rsidRPr="0043761D">
        <w:rPr>
          <w:rFonts w:ascii="Times New Roman" w:hAnsi="Times New Roman" w:cs="Times New Roman"/>
          <w:sz w:val="28"/>
          <w:szCs w:val="28"/>
        </w:rPr>
        <w:t>other work in progress:</w:t>
      </w:r>
    </w:p>
    <w:p w:rsidR="00AC2B25" w:rsidRPr="0043761D" w:rsidRDefault="00AC2B25" w:rsidP="00AC2B25">
      <w:pPr>
        <w:pStyle w:val="2"/>
        <w:numPr>
          <w:ilvl w:val="0"/>
          <w:numId w:val="3"/>
        </w:numPr>
        <w:shd w:val="clear" w:color="auto" w:fill="auto"/>
        <w:tabs>
          <w:tab w:val="left" w:pos="608"/>
          <w:tab w:val="left" w:pos="1134"/>
        </w:tabs>
        <w:spacing w:before="0" w:line="240" w:lineRule="auto"/>
        <w:ind w:left="0" w:firstLine="709"/>
        <w:jc w:val="both"/>
        <w:rPr>
          <w:sz w:val="28"/>
          <w:szCs w:val="28"/>
        </w:rPr>
      </w:pPr>
      <w:r w:rsidRPr="0043761D">
        <w:rPr>
          <w:sz w:val="28"/>
          <w:szCs w:val="28"/>
        </w:rPr>
        <w:t>enterprises have in stocks various types of goods, called raw materials and materials. The most common of these are: fuel, industrial and agricultural raw materials and materials, semi-finished products, assembly components, packaging materials, food products, office supplies. Raw materials do not include works of art or stocks of precious metals or stones purchased by businesses as valuables. However, there are some producers who use gold, diamonds as an intermediate consumption in the production of other goods or services, such as jewelers or dentists. Stocks of gold, diamonds intended for use in production are reflected in the accounts as raw materials;</w:t>
      </w:r>
    </w:p>
    <w:p w:rsidR="00AC2B25" w:rsidRPr="0043761D" w:rsidRDefault="00AC2B25" w:rsidP="00AC2B25">
      <w:pPr>
        <w:pStyle w:val="2"/>
        <w:numPr>
          <w:ilvl w:val="0"/>
          <w:numId w:val="3"/>
        </w:numPr>
        <w:shd w:val="clear" w:color="auto" w:fill="auto"/>
        <w:tabs>
          <w:tab w:val="left" w:pos="608"/>
          <w:tab w:val="left" w:pos="1134"/>
        </w:tabs>
        <w:spacing w:before="0" w:line="240" w:lineRule="auto"/>
        <w:ind w:left="0" w:firstLine="709"/>
        <w:jc w:val="both"/>
        <w:rPr>
          <w:sz w:val="28"/>
          <w:szCs w:val="28"/>
        </w:rPr>
      </w:pPr>
      <w:r w:rsidRPr="0043761D">
        <w:rPr>
          <w:sz w:val="28"/>
          <w:szCs w:val="28"/>
        </w:rPr>
        <w:t xml:space="preserve">work-in-progress takes many forms, from unripe crops to unfinished films or computer programs. </w:t>
      </w:r>
      <w:r w:rsidRPr="0043761D">
        <w:rPr>
          <w:sz w:val="28"/>
          <w:szCs w:val="28"/>
        </w:rPr>
        <w:tab/>
        <w:t>Although work in progress is an output that has not reached the state in which it is delivered to other units, ownership of it, however, is transferable if necessary. For example, when transferred in case of special circumstances, such as the liquidation of an enterprise. Construction in progress and major repairs in progress are also classified as work in progress if they are produced without a contract with the customer and if payment has not been received for them. If there is a construction contract, as well as if it is carried out in an economic way, construction in progress and incomplete overhaul are related to fixed capital;</w:t>
      </w:r>
    </w:p>
    <w:p w:rsidR="00AC2B25" w:rsidRPr="0043761D" w:rsidRDefault="00AC2B25" w:rsidP="00AC2B25">
      <w:pPr>
        <w:widowControl/>
        <w:numPr>
          <w:ilvl w:val="0"/>
          <w:numId w:val="3"/>
        </w:numPr>
        <w:tabs>
          <w:tab w:val="left" w:pos="1134"/>
        </w:tabs>
        <w:autoSpaceDE w:val="0"/>
        <w:autoSpaceDN w:val="0"/>
        <w:adjustRightInd w:val="0"/>
        <w:ind w:left="0" w:firstLine="709"/>
        <w:jc w:val="both"/>
        <w:rPr>
          <w:rFonts w:ascii="Times New Roman" w:hAnsi="Times New Roman" w:cs="Times New Roman"/>
          <w:sz w:val="28"/>
          <w:szCs w:val="28"/>
        </w:rPr>
      </w:pPr>
      <w:r w:rsidRPr="0043761D">
        <w:rPr>
          <w:rFonts w:ascii="Times New Roman" w:hAnsi="Times New Roman" w:cs="Times New Roman"/>
          <w:color w:val="auto"/>
          <w:sz w:val="28"/>
          <w:szCs w:val="28"/>
          <w:lang w:eastAsia="en-US"/>
        </w:rPr>
        <w:t xml:space="preserve">in the work-in-progress of cultivated biological resources, it is necessary to distinguish between single-use plants, trees and livestock, which produce products only once (when plants are cut, trees are uprooted, and livestock are slaughtered for meat), and trees (including vines and shrubs) and livestock, which used repeatedly or continuously for more than one year to produce products such as fruits, nuts, resin, milk, wool, energy, transportation services and entertainment </w:t>
      </w:r>
      <w:r w:rsidRPr="0043761D">
        <w:rPr>
          <w:rFonts w:ascii="Times New Roman" w:hAnsi="Times New Roman" w:cs="Times New Roman"/>
          <w:sz w:val="28"/>
          <w:szCs w:val="28"/>
        </w:rPr>
        <w:t>;</w:t>
      </w:r>
    </w:p>
    <w:p w:rsidR="00AC2B25" w:rsidRPr="0043761D" w:rsidRDefault="00AC2B25" w:rsidP="00AC2B25">
      <w:pPr>
        <w:widowControl/>
        <w:numPr>
          <w:ilvl w:val="0"/>
          <w:numId w:val="3"/>
        </w:numPr>
        <w:tabs>
          <w:tab w:val="left" w:pos="993"/>
        </w:tabs>
        <w:autoSpaceDE w:val="0"/>
        <w:autoSpaceDN w:val="0"/>
        <w:adjustRightInd w:val="0"/>
        <w:ind w:left="0" w:firstLine="709"/>
        <w:jc w:val="both"/>
        <w:rPr>
          <w:rFonts w:ascii="Times New Roman" w:hAnsi="Times New Roman" w:cs="Times New Roman"/>
          <w:color w:val="auto"/>
          <w:sz w:val="28"/>
          <w:szCs w:val="28"/>
        </w:rPr>
      </w:pPr>
      <w:r w:rsidRPr="0043761D">
        <w:rPr>
          <w:rFonts w:ascii="Times New Roman" w:hAnsi="Times New Roman" w:cs="Times New Roman"/>
          <w:color w:val="auto"/>
          <w:sz w:val="28"/>
          <w:szCs w:val="28"/>
        </w:rPr>
        <w:t>other work in progress consists of the output of products (other than cultivated biological resources) that are not yet sufficiently processed to be in the state in which they are supplied to other institutional units;</w:t>
      </w:r>
    </w:p>
    <w:p w:rsidR="00AC2B25" w:rsidRPr="0043761D" w:rsidRDefault="00AC2B25" w:rsidP="00AC2B25">
      <w:pPr>
        <w:widowControl/>
        <w:numPr>
          <w:ilvl w:val="0"/>
          <w:numId w:val="3"/>
        </w:numPr>
        <w:tabs>
          <w:tab w:val="left" w:pos="993"/>
        </w:tabs>
        <w:autoSpaceDE w:val="0"/>
        <w:autoSpaceDN w:val="0"/>
        <w:adjustRightInd w:val="0"/>
        <w:ind w:left="0" w:firstLine="709"/>
        <w:jc w:val="both"/>
        <w:rPr>
          <w:rFonts w:ascii="Times New Roman" w:hAnsi="Times New Roman" w:cs="Times New Roman"/>
          <w:sz w:val="28"/>
          <w:szCs w:val="28"/>
        </w:rPr>
      </w:pPr>
      <w:r w:rsidRPr="0043761D">
        <w:rPr>
          <w:rFonts w:ascii="Times New Roman" w:hAnsi="Times New Roman" w:cs="Times New Roman"/>
          <w:color w:val="auto"/>
          <w:sz w:val="28"/>
          <w:szCs w:val="28"/>
        </w:rPr>
        <w:lastRenderedPageBreak/>
        <w:t xml:space="preserve">stocks of finished products can only be held by enterprises that produce them. Finished products that are part of inventories are valued at the basic prices of goods that existed at the time they entered inventory; Finished products retired from inventories are valued at the basic prices prevailing at the point in time when they were retired. Finished </w:t>
      </w:r>
      <w:r w:rsidRPr="0043761D">
        <w:rPr>
          <w:rFonts w:ascii="Times New Roman" w:hAnsi="Times New Roman" w:cs="Times New Roman"/>
          <w:sz w:val="28"/>
          <w:szCs w:val="28"/>
        </w:rPr>
        <w:t xml:space="preserve">products </w:t>
      </w:r>
      <w:r w:rsidRPr="0043761D">
        <w:rPr>
          <w:rFonts w:ascii="Times New Roman" w:hAnsi="Times New Roman" w:cs="Times New Roman"/>
          <w:color w:val="auto"/>
          <w:sz w:val="28"/>
          <w:szCs w:val="28"/>
        </w:rPr>
        <w:t>are considered finished when their producer has completed the intended production process, even though they may subsequently be used for intermediate consumption in other production processes;</w:t>
      </w:r>
    </w:p>
    <w:p w:rsidR="00AC2B25" w:rsidRPr="0043761D" w:rsidRDefault="00AC2B25" w:rsidP="00AC2B25">
      <w:pPr>
        <w:pStyle w:val="2"/>
        <w:numPr>
          <w:ilvl w:val="0"/>
          <w:numId w:val="3"/>
        </w:numPr>
        <w:shd w:val="clear" w:color="auto" w:fill="auto"/>
        <w:tabs>
          <w:tab w:val="left" w:pos="993"/>
        </w:tabs>
        <w:spacing w:before="0" w:line="240" w:lineRule="auto"/>
        <w:ind w:left="0" w:firstLine="709"/>
        <w:jc w:val="both"/>
        <w:rPr>
          <w:sz w:val="28"/>
          <w:szCs w:val="28"/>
        </w:rPr>
      </w:pPr>
      <w:r w:rsidRPr="0043761D">
        <w:rPr>
          <w:sz w:val="28"/>
          <w:szCs w:val="28"/>
        </w:rPr>
        <w:t>most disposable objects for military purposes are accounted for as tangible assets, but some types of missiles with a very high destructive capacity are considered as fixed assets due to their ability to provide a long-term service in deterring aggressors;</w:t>
      </w:r>
    </w:p>
    <w:p w:rsidR="00AC2B25" w:rsidRPr="0043761D" w:rsidRDefault="00AC2B25" w:rsidP="00AC2B25">
      <w:pPr>
        <w:pStyle w:val="2"/>
        <w:widowControl/>
        <w:numPr>
          <w:ilvl w:val="0"/>
          <w:numId w:val="3"/>
        </w:numPr>
        <w:shd w:val="clear" w:color="auto" w:fill="auto"/>
        <w:tabs>
          <w:tab w:val="left" w:pos="993"/>
        </w:tabs>
        <w:autoSpaceDE w:val="0"/>
        <w:autoSpaceDN w:val="0"/>
        <w:adjustRightInd w:val="0"/>
        <w:spacing w:before="0" w:line="240" w:lineRule="auto"/>
        <w:ind w:left="0" w:firstLine="709"/>
        <w:jc w:val="both"/>
        <w:rPr>
          <w:sz w:val="28"/>
          <w:szCs w:val="28"/>
        </w:rPr>
      </w:pPr>
      <w:r w:rsidRPr="0043761D">
        <w:rPr>
          <w:sz w:val="28"/>
          <w:szCs w:val="28"/>
        </w:rPr>
        <w:t>goods for resale entering the inventories of enterprises are valued at purchasers' prices, actual or imputed. These prices include any additional transport costs paid by the enterprises (other than the supplying enterprises), but do not include the costs of transport services produced by the own transport of the enterprise receiving the delivery of the goods. Goods for resale are not further processed by the businesses that buy them.</w:t>
      </w:r>
    </w:p>
    <w:p w:rsidR="00AC2B25" w:rsidRPr="0043761D" w:rsidRDefault="00AC2B25" w:rsidP="00AC2B25">
      <w:pPr>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43761D">
        <w:rPr>
          <w:rFonts w:ascii="Times New Roman" w:hAnsi="Times New Roman" w:cs="Times New Roman"/>
          <w:color w:val="auto"/>
          <w:sz w:val="28"/>
          <w:szCs w:val="28"/>
        </w:rPr>
        <w:t>Accounting for changes in inventories is formed for the following sectors of the economy:</w:t>
      </w:r>
    </w:p>
    <w:p w:rsidR="00AC2B25" w:rsidRPr="0043761D" w:rsidRDefault="00AC2B25" w:rsidP="00AC2B25">
      <w:pPr>
        <w:tabs>
          <w:tab w:val="left" w:pos="1168"/>
        </w:tabs>
        <w:ind w:firstLine="601"/>
        <w:jc w:val="both"/>
        <w:rPr>
          <w:rFonts w:ascii="Times New Roman" w:hAnsi="Times New Roman" w:cs="Times New Roman"/>
          <w:sz w:val="28"/>
          <w:szCs w:val="28"/>
        </w:rPr>
      </w:pPr>
      <w:r w:rsidRPr="0043761D">
        <w:rPr>
          <w:rFonts w:ascii="Times New Roman" w:hAnsi="Times New Roman" w:cs="Times New Roman"/>
          <w:sz w:val="28"/>
          <w:szCs w:val="28"/>
        </w:rPr>
        <w:t>1) the change in stocks in the non-financial sector is calculated as the difference between the value of stocks at the end and the beginning of the period according to the financial statements of enterprises or other reports. If, in the accounting of enterprises, inventories are valued at prices at the time the products enter stocks, then in this case the amount of change in stocks will include a change in the cost of products as a result of price changes during the time it was in stocks;</w:t>
      </w:r>
    </w:p>
    <w:p w:rsidR="00AC2B25" w:rsidRPr="0043761D" w:rsidRDefault="00AC2B25" w:rsidP="00AC2B25">
      <w:pPr>
        <w:ind w:firstLine="709"/>
        <w:jc w:val="both"/>
        <w:rPr>
          <w:rFonts w:ascii="Times New Roman" w:hAnsi="Times New Roman" w:cs="Times New Roman"/>
          <w:sz w:val="28"/>
          <w:szCs w:val="28"/>
        </w:rPr>
      </w:pPr>
      <w:r w:rsidRPr="0043761D">
        <w:rPr>
          <w:rFonts w:ascii="Times New Roman" w:hAnsi="Times New Roman" w:cs="Times New Roman"/>
          <w:sz w:val="28"/>
          <w:szCs w:val="28"/>
        </w:rPr>
        <w:t>2) it is unusual for financial institutions to have all types of inventories. They have in their stocks stationery, non-fixed equipment, spare parts for cars, computers and office equipment, various household materials, low-value and wear-and-tear items;</w:t>
      </w:r>
    </w:p>
    <w:p w:rsidR="00AC2B25" w:rsidRPr="0043761D" w:rsidRDefault="00AC2B25" w:rsidP="00AC2B25">
      <w:pPr>
        <w:ind w:firstLine="709"/>
        <w:jc w:val="both"/>
        <w:rPr>
          <w:rFonts w:ascii="Times New Roman" w:hAnsi="Times New Roman" w:cs="Times New Roman"/>
          <w:sz w:val="28"/>
          <w:szCs w:val="28"/>
        </w:rPr>
      </w:pPr>
      <w:r w:rsidRPr="0043761D">
        <w:rPr>
          <w:rFonts w:ascii="Times New Roman" w:hAnsi="Times New Roman" w:cs="Times New Roman"/>
          <w:sz w:val="28"/>
          <w:szCs w:val="28"/>
        </w:rPr>
        <w:t>3) a type of inventories characteristic of the public administration sector are state reserves - stocks of strategic materials, grain, food and other goods of particular national importance and used by the state in case of unforeseen situations (natural disasters, man-made disasters, wars) . The report on the execution of the state budget as part of current expenditures reflects the expenditure on the purchase of goods, that is, receipts in stocks, data on the balance sheet for the execution of estimates of income and expenses of budgetary institutions, which reflects the balances of inventory at the beginning and end of the reporting period;</w:t>
      </w:r>
    </w:p>
    <w:p w:rsidR="00AC2B25" w:rsidRPr="0043761D" w:rsidRDefault="00AC2B25" w:rsidP="00AC2B25">
      <w:pPr>
        <w:tabs>
          <w:tab w:val="left" w:pos="993"/>
        </w:tabs>
        <w:ind w:firstLine="709"/>
        <w:jc w:val="both"/>
        <w:rPr>
          <w:rFonts w:ascii="Times New Roman" w:hAnsi="Times New Roman" w:cs="Times New Roman"/>
          <w:sz w:val="28"/>
          <w:szCs w:val="28"/>
        </w:rPr>
      </w:pPr>
      <w:r w:rsidRPr="0043761D">
        <w:rPr>
          <w:rFonts w:ascii="Times New Roman" w:hAnsi="Times New Roman" w:cs="Times New Roman"/>
          <w:sz w:val="28"/>
          <w:szCs w:val="28"/>
        </w:rPr>
        <w:t>4) work in progress, finished goods and goods for resale are uncharacteristic types of inventories, but they may be held by units of this sector engaged in the production of goods or trade as a business activity. In the balance sheets, inventories are recorded at prices at the time of acquisition, and therefore the amount of change in inventories calculated on the basis of these data will include the change in the value of inventories as a result of changes in prices during their time in inventory (holding gain or loss) ;</w:t>
      </w:r>
    </w:p>
    <w:p w:rsidR="00AC2B25" w:rsidRPr="0043761D" w:rsidRDefault="00AC2B25" w:rsidP="00AC2B25">
      <w:pPr>
        <w:ind w:firstLine="709"/>
        <w:jc w:val="both"/>
        <w:rPr>
          <w:rFonts w:ascii="Times New Roman" w:hAnsi="Times New Roman" w:cs="Times New Roman"/>
          <w:sz w:val="28"/>
          <w:szCs w:val="28"/>
        </w:rPr>
      </w:pPr>
      <w:r w:rsidRPr="0043761D">
        <w:rPr>
          <w:rFonts w:ascii="Times New Roman" w:hAnsi="Times New Roman" w:cs="Times New Roman"/>
          <w:sz w:val="28"/>
          <w:szCs w:val="28"/>
        </w:rPr>
        <w:t xml:space="preserve">5) in the household sector, the change in inventories is calculated as the </w:t>
      </w:r>
      <w:r w:rsidRPr="0043761D">
        <w:rPr>
          <w:rFonts w:ascii="Times New Roman" w:hAnsi="Times New Roman" w:cs="Times New Roman"/>
          <w:sz w:val="28"/>
          <w:szCs w:val="28"/>
        </w:rPr>
        <w:lastRenderedPageBreak/>
        <w:t>difference between the receipts of products into inventories and withdrawals from them. At the same time, they are evaluated at market prices that are valid at the time of receipt or withdrawal, respectively.</w:t>
      </w:r>
    </w:p>
    <w:p w:rsidR="00AC2B25" w:rsidRPr="0043761D" w:rsidRDefault="00AC2B25" w:rsidP="00AC2B25">
      <w:pPr>
        <w:widowControl/>
        <w:numPr>
          <w:ilvl w:val="0"/>
          <w:numId w:val="2"/>
        </w:numPr>
        <w:tabs>
          <w:tab w:val="left" w:pos="1134"/>
        </w:tabs>
        <w:autoSpaceDE w:val="0"/>
        <w:autoSpaceDN w:val="0"/>
        <w:adjustRightInd w:val="0"/>
        <w:ind w:left="0" w:firstLine="709"/>
        <w:jc w:val="both"/>
      </w:pPr>
      <w:r w:rsidRPr="0043761D">
        <w:rPr>
          <w:rFonts w:ascii="Times New Roman" w:hAnsi="Times New Roman" w:cs="Times New Roman"/>
          <w:sz w:val="28"/>
          <w:szCs w:val="28"/>
        </w:rPr>
        <w:t>To eliminate the effect of price changes, a simplified method is used, which consists in the fact that the assessment of stocks at the beginning and end of the reporting period is made at average prices of this period.</w:t>
      </w:r>
    </w:p>
    <w:p w:rsidR="00AC2B25" w:rsidRPr="0043761D" w:rsidRDefault="00AC2B25" w:rsidP="00AC2B25">
      <w:pPr>
        <w:ind w:firstLine="709"/>
        <w:jc w:val="both"/>
        <w:rPr>
          <w:rFonts w:ascii="Times New Roman" w:hAnsi="Times New Roman" w:cs="Times New Roman"/>
          <w:b/>
          <w:bCs/>
          <w:sz w:val="28"/>
          <w:szCs w:val="28"/>
          <w:lang w:eastAsia="en-US"/>
        </w:rPr>
      </w:pPr>
    </w:p>
    <w:p w:rsidR="00AC2B25" w:rsidRPr="0043761D" w:rsidRDefault="00AC2B25" w:rsidP="00AC2B25">
      <w:pPr>
        <w:ind w:firstLine="709"/>
        <w:jc w:val="both"/>
        <w:rPr>
          <w:rFonts w:ascii="Times New Roman" w:hAnsi="Times New Roman" w:cs="Times New Roman"/>
          <w:b/>
          <w:bCs/>
          <w:sz w:val="28"/>
          <w:szCs w:val="28"/>
          <w:lang w:eastAsia="en-US"/>
        </w:rPr>
      </w:pPr>
    </w:p>
    <w:p w:rsidR="00AC2B25" w:rsidRPr="00FC2D4E" w:rsidRDefault="00FC2D4E" w:rsidP="00AC2B25">
      <w:pPr>
        <w:jc w:val="center"/>
        <w:rPr>
          <w:rFonts w:ascii="Times New Roman" w:hAnsi="Times New Roman" w:cs="Times New Roman"/>
          <w:b/>
          <w:bCs/>
          <w:sz w:val="28"/>
          <w:szCs w:val="28"/>
          <w:lang w:val="en-US" w:eastAsia="en-US"/>
        </w:rPr>
      </w:pPr>
      <w:r w:rsidRPr="00FC2D4E">
        <w:rPr>
          <w:rFonts w:ascii="Times New Roman" w:hAnsi="Times New Roman" w:cs="Times New Roman"/>
          <w:b/>
          <w:bCs/>
          <w:sz w:val="28"/>
          <w:szCs w:val="28"/>
          <w:lang w:val="en-US" w:eastAsia="en-US"/>
        </w:rPr>
        <w:t>3. Calculation of changes in stocks of inventories according to SNA-2008</w:t>
      </w:r>
    </w:p>
    <w:p w:rsidR="00AC2B25" w:rsidRPr="00FC2D4E" w:rsidRDefault="00AC2B25" w:rsidP="00AC2B25">
      <w:pPr>
        <w:ind w:firstLine="709"/>
        <w:jc w:val="both"/>
        <w:rPr>
          <w:rFonts w:ascii="Times New Roman" w:hAnsi="Times New Roman" w:cs="Times New Roman"/>
          <w:b/>
          <w:bCs/>
          <w:sz w:val="28"/>
          <w:szCs w:val="28"/>
          <w:lang w:val="en-US" w:eastAsia="en-US"/>
        </w:rPr>
      </w:pPr>
    </w:p>
    <w:p w:rsidR="00AC2B25" w:rsidRPr="0043761D" w:rsidRDefault="00AC2B25" w:rsidP="00AC2B25">
      <w:pPr>
        <w:widowControl/>
        <w:numPr>
          <w:ilvl w:val="0"/>
          <w:numId w:val="2"/>
        </w:numPr>
        <w:tabs>
          <w:tab w:val="left" w:pos="1134"/>
        </w:tabs>
        <w:autoSpaceDE w:val="0"/>
        <w:autoSpaceDN w:val="0"/>
        <w:adjustRightInd w:val="0"/>
        <w:ind w:left="0" w:firstLine="709"/>
        <w:jc w:val="both"/>
        <w:rPr>
          <w:rFonts w:ascii="Times New Roman" w:hAnsi="Times New Roman" w:cs="Times New Roman"/>
          <w:sz w:val="28"/>
          <w:szCs w:val="28"/>
        </w:rPr>
      </w:pPr>
      <w:r w:rsidRPr="0043761D">
        <w:rPr>
          <w:rFonts w:ascii="Times New Roman" w:hAnsi="Times New Roman" w:cs="Times New Roman"/>
          <w:sz w:val="28"/>
          <w:szCs w:val="28"/>
        </w:rPr>
        <w:t xml:space="preserve">To determine the </w:t>
      </w:r>
      <w:r w:rsidRPr="0043761D">
        <w:rPr>
          <w:rFonts w:ascii="Times New Roman" w:hAnsi="Times New Roman" w:cs="Times New Roman"/>
          <w:bCs/>
          <w:sz w:val="28"/>
          <w:szCs w:val="28"/>
          <w:lang w:eastAsia="en-US"/>
        </w:rPr>
        <w:t xml:space="preserve">calculation of changes in inventories in </w:t>
      </w:r>
      <w:r w:rsidRPr="0043761D">
        <w:rPr>
          <w:rFonts w:ascii="Times New Roman" w:hAnsi="Times New Roman" w:cs="Times New Roman"/>
          <w:sz w:val="28"/>
          <w:szCs w:val="28"/>
        </w:rPr>
        <w:t>average prices of the reporting period, a calculation is made that includes the following steps:</w:t>
      </w:r>
    </w:p>
    <w:p w:rsidR="00AC2B25" w:rsidRPr="0043761D" w:rsidRDefault="00AC2B25" w:rsidP="00AC2B25">
      <w:pPr>
        <w:pStyle w:val="2"/>
        <w:shd w:val="clear" w:color="auto" w:fill="auto"/>
        <w:tabs>
          <w:tab w:val="left" w:pos="338"/>
        </w:tabs>
        <w:spacing w:before="0" w:line="240" w:lineRule="auto"/>
        <w:ind w:firstLine="709"/>
        <w:jc w:val="both"/>
        <w:rPr>
          <w:sz w:val="28"/>
          <w:szCs w:val="28"/>
        </w:rPr>
      </w:pPr>
      <w:r w:rsidRPr="0043761D">
        <w:rPr>
          <w:sz w:val="28"/>
          <w:szCs w:val="28"/>
        </w:rPr>
        <w:t>1) determination of the cost of inventories at the beginning and end of the reporting period, according to accounting reports;</w:t>
      </w:r>
    </w:p>
    <w:p w:rsidR="00AC2B25" w:rsidRPr="0043761D" w:rsidRDefault="00AC2B25" w:rsidP="00AC2B25">
      <w:pPr>
        <w:pStyle w:val="2"/>
        <w:shd w:val="clear" w:color="auto" w:fill="auto"/>
        <w:tabs>
          <w:tab w:val="left" w:pos="338"/>
        </w:tabs>
        <w:spacing w:before="0" w:line="240" w:lineRule="auto"/>
        <w:ind w:firstLine="709"/>
        <w:jc w:val="both"/>
        <w:rPr>
          <w:sz w:val="28"/>
          <w:szCs w:val="28"/>
        </w:rPr>
      </w:pPr>
      <w:r w:rsidRPr="0043761D">
        <w:rPr>
          <w:sz w:val="28"/>
          <w:szCs w:val="28"/>
        </w:rPr>
        <w:t>2) determination of the cost of inventories at the beginning and end of the reporting period in the prices of the base period;</w:t>
      </w:r>
    </w:p>
    <w:p w:rsidR="00AC2B25" w:rsidRPr="0043761D" w:rsidRDefault="00AC2B25" w:rsidP="00AC2B25">
      <w:pPr>
        <w:pStyle w:val="2"/>
        <w:shd w:val="clear" w:color="auto" w:fill="auto"/>
        <w:tabs>
          <w:tab w:val="left" w:pos="338"/>
        </w:tabs>
        <w:spacing w:before="0" w:line="240" w:lineRule="auto"/>
        <w:ind w:firstLine="709"/>
        <w:jc w:val="both"/>
        <w:rPr>
          <w:sz w:val="28"/>
          <w:szCs w:val="28"/>
        </w:rPr>
      </w:pPr>
      <w:r w:rsidRPr="0043761D">
        <w:rPr>
          <w:sz w:val="28"/>
          <w:szCs w:val="28"/>
        </w:rPr>
        <w:t>3) the calculation of the cost of inventories at the beginning and end of the reporting period in average prices of the reporting period is carried out using price indices, in accordance with Appendix 1 to this Methodology;</w:t>
      </w:r>
    </w:p>
    <w:p w:rsidR="00AC2B25" w:rsidRPr="0043761D" w:rsidRDefault="00AC2B25" w:rsidP="00AC2B25">
      <w:pPr>
        <w:pStyle w:val="2"/>
        <w:shd w:val="clear" w:color="auto" w:fill="auto"/>
        <w:tabs>
          <w:tab w:val="left" w:pos="338"/>
        </w:tabs>
        <w:spacing w:before="0" w:line="240" w:lineRule="auto"/>
        <w:ind w:firstLine="709"/>
        <w:jc w:val="both"/>
        <w:rPr>
          <w:sz w:val="28"/>
          <w:szCs w:val="28"/>
        </w:rPr>
      </w:pPr>
      <w:r w:rsidRPr="0043761D">
        <w:rPr>
          <w:sz w:val="28"/>
          <w:szCs w:val="28"/>
        </w:rPr>
        <w:t>4) determination of changes in the value of inventories for the reporting period in average prices of the reporting period.</w:t>
      </w:r>
    </w:p>
    <w:p w:rsidR="00AC2B25" w:rsidRPr="0043761D" w:rsidRDefault="00AC2B25" w:rsidP="00AC2B25">
      <w:pPr>
        <w:pStyle w:val="2"/>
        <w:shd w:val="clear" w:color="auto" w:fill="auto"/>
        <w:spacing w:before="0" w:line="240" w:lineRule="auto"/>
        <w:ind w:firstLine="709"/>
        <w:jc w:val="both"/>
        <w:rPr>
          <w:sz w:val="28"/>
          <w:szCs w:val="28"/>
          <w:lang w:val="kk-KZ"/>
        </w:rPr>
      </w:pPr>
      <w:r w:rsidRPr="0043761D">
        <w:rPr>
          <w:sz w:val="28"/>
          <w:szCs w:val="28"/>
        </w:rPr>
        <w:t>Below is a general formula for calculating changes in the cost of inventories at average prices of the reporting period, reflecting all stages of this calculation:</w:t>
      </w:r>
    </w:p>
    <w:p w:rsidR="00AC2B25" w:rsidRPr="0043761D" w:rsidRDefault="003C573C" w:rsidP="00AC2B25">
      <w:pPr>
        <w:pStyle w:val="2"/>
        <w:shd w:val="clear" w:color="auto" w:fill="auto"/>
        <w:spacing w:before="0" w:line="240" w:lineRule="auto"/>
        <w:ind w:firstLine="709"/>
        <w:jc w:val="both"/>
        <w:rPr>
          <w:sz w:val="28"/>
          <w:szCs w:val="28"/>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3pt;margin-top:6.35pt;width:115.15pt;height:37.15pt;z-index:251659264" wrapcoords="8669 1630 588 8151 294 12634 3086 14672 8816 14672 8522 17525 9257 19970 9992 19970 20278 19970 21012 16709 18808 14672 20424 13857 21159 11004 20718 1630 8669 1630">
            <v:imagedata r:id="rId7" o:title=""/>
            <w10:wrap type="square"/>
          </v:shape>
          <o:OLEObject Type="Embed" ProgID="Equation.3" ShapeID="_x0000_s1026" DrawAspect="Content" ObjectID="_1746870623" r:id="rId8"/>
        </w:object>
      </w:r>
      <w:r w:rsidR="00AC2B25" w:rsidRPr="0043761D">
        <w:rPr>
          <w:sz w:val="28"/>
          <w:szCs w:val="28"/>
        </w:rPr>
        <w:tab/>
      </w:r>
      <w:r w:rsidR="00AC2B25" w:rsidRPr="0043761D">
        <w:rPr>
          <w:sz w:val="28"/>
          <w:szCs w:val="28"/>
        </w:rPr>
        <w:tab/>
      </w:r>
      <w:r w:rsidR="00AC2B25" w:rsidRPr="0043761D">
        <w:rPr>
          <w:sz w:val="28"/>
          <w:szCs w:val="28"/>
        </w:rPr>
        <w:tab/>
      </w:r>
      <w:r w:rsidR="00AC2B25" w:rsidRPr="0043761D">
        <w:rPr>
          <w:sz w:val="28"/>
          <w:szCs w:val="28"/>
        </w:rPr>
        <w:tab/>
      </w:r>
    </w:p>
    <w:p w:rsidR="00AC2B25" w:rsidRPr="0043761D" w:rsidRDefault="00AC2B25" w:rsidP="00AC2B25">
      <w:pPr>
        <w:pStyle w:val="2"/>
        <w:shd w:val="clear" w:color="auto" w:fill="auto"/>
        <w:spacing w:before="0" w:line="240" w:lineRule="auto"/>
        <w:ind w:firstLine="709"/>
        <w:jc w:val="both"/>
        <w:rPr>
          <w:sz w:val="28"/>
          <w:szCs w:val="28"/>
        </w:rPr>
      </w:pPr>
    </w:p>
    <w:p w:rsidR="00AC2B25" w:rsidRPr="0043761D" w:rsidRDefault="00AC2B25" w:rsidP="00AC2B25">
      <w:pPr>
        <w:pStyle w:val="2"/>
        <w:shd w:val="clear" w:color="auto" w:fill="auto"/>
        <w:spacing w:before="0" w:line="240" w:lineRule="auto"/>
        <w:ind w:firstLine="709"/>
        <w:jc w:val="both"/>
        <w:rPr>
          <w:sz w:val="28"/>
          <w:szCs w:val="28"/>
        </w:rPr>
      </w:pPr>
    </w:p>
    <w:p w:rsidR="00AC2B25" w:rsidRPr="0043761D" w:rsidRDefault="00FC2D4E" w:rsidP="00AC2B25">
      <w:pPr>
        <w:pStyle w:val="2"/>
        <w:shd w:val="clear" w:color="auto" w:fill="auto"/>
        <w:spacing w:before="0" w:line="240" w:lineRule="auto"/>
        <w:ind w:firstLine="709"/>
        <w:jc w:val="both"/>
        <w:rPr>
          <w:sz w:val="28"/>
          <w:szCs w:val="28"/>
        </w:rPr>
      </w:pPr>
      <w:r>
        <w:rPr>
          <w:sz w:val="28"/>
          <w:szCs w:val="28"/>
        </w:rPr>
        <w:t>where:</w:t>
      </w:r>
    </w:p>
    <w:p w:rsidR="00AC2B25" w:rsidRPr="0043761D" w:rsidRDefault="00AC2B25" w:rsidP="00AC2B25">
      <w:pPr>
        <w:pStyle w:val="2"/>
        <w:shd w:val="clear" w:color="auto" w:fill="auto"/>
        <w:spacing w:before="0" w:line="240" w:lineRule="auto"/>
        <w:ind w:firstLine="709"/>
        <w:jc w:val="both"/>
        <w:rPr>
          <w:sz w:val="28"/>
          <w:szCs w:val="28"/>
        </w:rPr>
      </w:pPr>
      <w:r w:rsidRPr="0043761D">
        <w:rPr>
          <w:position w:val="-6"/>
          <w:sz w:val="28"/>
          <w:szCs w:val="28"/>
          <w:lang w:val="en-US"/>
        </w:rPr>
        <w:object w:dxaOrig="220" w:dyaOrig="279">
          <v:shape id="_x0000_i1026" type="#_x0000_t75" style="width:11pt;height:14pt" o:ole="">
            <v:imagedata r:id="rId9" o:title=""/>
          </v:shape>
          <o:OLEObject Type="Embed" ProgID="Equation.3" ShapeID="_x0000_i1026" DrawAspect="Content" ObjectID="_1746870617" r:id="rId10"/>
        </w:object>
      </w:r>
      <w:r w:rsidRPr="0043761D">
        <w:rPr>
          <w:sz w:val="28"/>
          <w:szCs w:val="28"/>
        </w:rPr>
        <w:t>- change in the cost of inventories for the reporting period in average prices of the reporting period;</w:t>
      </w:r>
    </w:p>
    <w:p w:rsidR="00AC2B25" w:rsidRPr="0043761D" w:rsidRDefault="00AC2B25" w:rsidP="00AC2B25">
      <w:pPr>
        <w:pStyle w:val="2"/>
        <w:shd w:val="clear" w:color="auto" w:fill="auto"/>
        <w:spacing w:before="0" w:line="240" w:lineRule="auto"/>
        <w:ind w:firstLine="709"/>
        <w:jc w:val="both"/>
        <w:rPr>
          <w:sz w:val="28"/>
          <w:szCs w:val="28"/>
        </w:rPr>
      </w:pPr>
      <w:r w:rsidRPr="0043761D">
        <w:rPr>
          <w:position w:val="-12"/>
          <w:sz w:val="28"/>
          <w:szCs w:val="28"/>
          <w:lang w:val="en-US"/>
        </w:rPr>
        <w:object w:dxaOrig="279" w:dyaOrig="360">
          <v:shape id="_x0000_i1027" type="#_x0000_t75" style="width:14pt;height:18pt" o:ole="">
            <v:imagedata r:id="rId11" o:title=""/>
          </v:shape>
          <o:OLEObject Type="Embed" ProgID="Equation.3" ShapeID="_x0000_i1027" DrawAspect="Content" ObjectID="_1746870618" r:id="rId12"/>
        </w:object>
      </w:r>
      <w:r w:rsidRPr="0043761D">
        <w:rPr>
          <w:sz w:val="28"/>
          <w:szCs w:val="28"/>
        </w:rPr>
        <w:t>- the cost of inventories at the beginning of the reporting period according to accounting reports;</w:t>
      </w:r>
    </w:p>
    <w:p w:rsidR="00AC2B25" w:rsidRPr="0043761D" w:rsidRDefault="00AC2B25" w:rsidP="00AC2B25">
      <w:pPr>
        <w:pStyle w:val="2"/>
        <w:shd w:val="clear" w:color="auto" w:fill="auto"/>
        <w:spacing w:before="0" w:line="240" w:lineRule="auto"/>
        <w:ind w:firstLine="709"/>
        <w:jc w:val="both"/>
        <w:rPr>
          <w:sz w:val="28"/>
          <w:szCs w:val="28"/>
        </w:rPr>
      </w:pPr>
      <w:r w:rsidRPr="0043761D">
        <w:rPr>
          <w:position w:val="-12"/>
          <w:sz w:val="28"/>
          <w:szCs w:val="28"/>
          <w:lang w:val="en-US"/>
        </w:rPr>
        <w:object w:dxaOrig="300" w:dyaOrig="360">
          <v:shape id="_x0000_i1028" type="#_x0000_t75" style="width:15pt;height:18pt" o:ole="">
            <v:imagedata r:id="rId13" o:title=""/>
          </v:shape>
          <o:OLEObject Type="Embed" ProgID="Equation.3" ShapeID="_x0000_i1028" DrawAspect="Content" ObjectID="_1746870619" r:id="rId14"/>
        </w:object>
      </w:r>
      <w:r w:rsidRPr="0043761D">
        <w:rPr>
          <w:sz w:val="28"/>
          <w:szCs w:val="28"/>
        </w:rPr>
        <w:t>- the cost of stocks at the end of the reporting period according to accounting reports;</w:t>
      </w:r>
    </w:p>
    <w:p w:rsidR="00AC2B25" w:rsidRPr="0043761D" w:rsidRDefault="00AC2B25" w:rsidP="00AC2B25">
      <w:pPr>
        <w:pStyle w:val="2"/>
        <w:shd w:val="clear" w:color="auto" w:fill="auto"/>
        <w:spacing w:before="0" w:line="240" w:lineRule="auto"/>
        <w:ind w:firstLine="709"/>
        <w:jc w:val="both"/>
        <w:rPr>
          <w:sz w:val="28"/>
          <w:szCs w:val="28"/>
        </w:rPr>
      </w:pPr>
      <w:r w:rsidRPr="0043761D">
        <w:rPr>
          <w:position w:val="-10"/>
          <w:sz w:val="28"/>
          <w:szCs w:val="28"/>
          <w:lang w:val="en-US"/>
        </w:rPr>
        <w:object w:dxaOrig="380" w:dyaOrig="380">
          <v:shape id="_x0000_i1029" type="#_x0000_t75" style="width:19pt;height:19pt" o:ole="">
            <v:imagedata r:id="rId15" o:title=""/>
          </v:shape>
          <o:OLEObject Type="Embed" ProgID="Equation.3" ShapeID="_x0000_i1029" DrawAspect="Content" ObjectID="_1746870620" r:id="rId16"/>
        </w:object>
      </w:r>
      <w:r w:rsidRPr="0043761D">
        <w:rPr>
          <w:sz w:val="28"/>
          <w:szCs w:val="28"/>
        </w:rPr>
        <w:t>- the average price index for the period during which the products in stocks at the beginning of the reporting period were stored, to the prices of the base period;</w:t>
      </w:r>
    </w:p>
    <w:p w:rsidR="00AC2B25" w:rsidRPr="0043761D" w:rsidRDefault="00AC2B25" w:rsidP="00AC2B25">
      <w:pPr>
        <w:pStyle w:val="2"/>
        <w:shd w:val="clear" w:color="auto" w:fill="auto"/>
        <w:spacing w:before="0" w:line="240" w:lineRule="auto"/>
        <w:ind w:firstLine="709"/>
        <w:jc w:val="both"/>
        <w:rPr>
          <w:sz w:val="28"/>
          <w:szCs w:val="28"/>
        </w:rPr>
      </w:pPr>
      <w:r w:rsidRPr="0043761D">
        <w:rPr>
          <w:position w:val="-10"/>
          <w:sz w:val="28"/>
          <w:szCs w:val="28"/>
          <w:lang w:val="en-US"/>
        </w:rPr>
        <w:object w:dxaOrig="360" w:dyaOrig="380">
          <v:shape id="_x0000_i1030" type="#_x0000_t75" style="width:18pt;height:19pt" o:ole="">
            <v:imagedata r:id="rId17" o:title=""/>
          </v:shape>
          <o:OLEObject Type="Embed" ProgID="Equation.3" ShapeID="_x0000_i1030" DrawAspect="Content" ObjectID="_1746870621" r:id="rId18"/>
        </w:object>
      </w:r>
      <w:r w:rsidRPr="0043761D">
        <w:rPr>
          <w:sz w:val="28"/>
          <w:szCs w:val="28"/>
        </w:rPr>
        <w:t>- the average price index for the period during which I was stored products in stock at the end of the reporting period, to the prices of the base period;</w:t>
      </w:r>
    </w:p>
    <w:p w:rsidR="00AC2B25" w:rsidRPr="0043761D" w:rsidRDefault="00AC2B25" w:rsidP="00AC2B25">
      <w:pPr>
        <w:pStyle w:val="2"/>
        <w:shd w:val="clear" w:color="auto" w:fill="auto"/>
        <w:spacing w:before="0" w:line="240" w:lineRule="auto"/>
        <w:ind w:firstLine="709"/>
        <w:jc w:val="both"/>
        <w:rPr>
          <w:sz w:val="28"/>
          <w:szCs w:val="28"/>
        </w:rPr>
      </w:pPr>
      <w:r w:rsidRPr="0043761D">
        <w:rPr>
          <w:position w:val="-10"/>
          <w:sz w:val="28"/>
          <w:szCs w:val="28"/>
          <w:lang w:val="en-US"/>
        </w:rPr>
        <w:object w:dxaOrig="300" w:dyaOrig="380">
          <v:shape id="_x0000_i1031" type="#_x0000_t75" style="width:15pt;height:19pt" o:ole="">
            <v:imagedata r:id="rId19" o:title=""/>
          </v:shape>
          <o:OLEObject Type="Embed" ProgID="Equation.3" ShapeID="_x0000_i1031" DrawAspect="Content" ObjectID="_1746870622" r:id="rId20"/>
        </w:object>
      </w:r>
      <w:r w:rsidRPr="0043761D">
        <w:rPr>
          <w:sz w:val="28"/>
          <w:szCs w:val="28"/>
        </w:rPr>
        <w:t>- the average price index for the reporting period to the prices of the base period.</w:t>
      </w:r>
    </w:p>
    <w:p w:rsidR="00AC2B25" w:rsidRPr="0043761D" w:rsidRDefault="00AC2B25" w:rsidP="00AC2B25">
      <w:pPr>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lang w:val="x-none" w:eastAsia="x-none"/>
        </w:rPr>
      </w:pPr>
      <w:r w:rsidRPr="0043761D">
        <w:rPr>
          <w:rFonts w:ascii="Times New Roman" w:hAnsi="Times New Roman" w:cs="Times New Roman"/>
          <w:color w:val="auto"/>
          <w:sz w:val="28"/>
          <w:szCs w:val="28"/>
          <w:lang w:eastAsia="x-none"/>
        </w:rPr>
        <w:t xml:space="preserve">And price </w:t>
      </w:r>
      <w:r w:rsidRPr="0043761D">
        <w:rPr>
          <w:rFonts w:ascii="Times New Roman" w:hAnsi="Times New Roman" w:cs="Times New Roman"/>
          <w:color w:val="auto"/>
          <w:sz w:val="28"/>
          <w:szCs w:val="28"/>
          <w:lang w:val="x-none" w:eastAsia="x-none"/>
        </w:rPr>
        <w:t>indices are calculated for the same base period.</w:t>
      </w:r>
    </w:p>
    <w:p w:rsidR="00AC2B25" w:rsidRPr="0043761D" w:rsidRDefault="00AC2B25" w:rsidP="00AC2B25">
      <w:pPr>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lang w:val="x-none" w:eastAsia="x-none"/>
        </w:rPr>
      </w:pPr>
      <w:r w:rsidRPr="0043761D">
        <w:rPr>
          <w:rFonts w:ascii="Times New Roman" w:hAnsi="Times New Roman" w:cs="Times New Roman"/>
          <w:color w:val="auto"/>
          <w:sz w:val="28"/>
          <w:szCs w:val="28"/>
          <w:lang w:val="x-none" w:eastAsia="x-none"/>
        </w:rPr>
        <w:t xml:space="preserve">To calculate the change in inventories by type of economic activity, data on the main types of stocks at the beginning and end of the reporting period are used from </w:t>
      </w:r>
      <w:r w:rsidRPr="0043761D">
        <w:rPr>
          <w:rFonts w:ascii="Times New Roman" w:hAnsi="Times New Roman" w:cs="Times New Roman"/>
          <w:color w:val="auto"/>
          <w:sz w:val="28"/>
          <w:szCs w:val="28"/>
          <w:lang w:val="x-none" w:eastAsia="x-none"/>
        </w:rPr>
        <w:lastRenderedPageBreak/>
        <w:t xml:space="preserve">the statistical forms “Report on the financial and economic activities of the enterprise” (index 1-PF, </w:t>
      </w:r>
      <w:r w:rsidRPr="0043761D">
        <w:rPr>
          <w:rFonts w:ascii="Times New Roman" w:hAnsi="Times New Roman" w:cs="Times New Roman"/>
          <w:color w:val="auto"/>
          <w:sz w:val="28"/>
          <w:szCs w:val="28"/>
          <w:lang w:eastAsia="x-none"/>
        </w:rPr>
        <w:t xml:space="preserve">quarterly frequency </w:t>
      </w:r>
      <w:r w:rsidRPr="0043761D">
        <w:rPr>
          <w:rFonts w:ascii="Times New Roman" w:hAnsi="Times New Roman" w:cs="Times New Roman"/>
          <w:color w:val="auto"/>
          <w:sz w:val="28"/>
          <w:szCs w:val="28"/>
          <w:lang w:val="x-none" w:eastAsia="x-none"/>
        </w:rPr>
        <w:t xml:space="preserve">) and “Report on activities small business "(index 2 </w:t>
      </w:r>
      <w:r w:rsidRPr="0043761D">
        <w:rPr>
          <w:rFonts w:ascii="Times New Roman" w:hAnsi="Times New Roman" w:cs="Times New Roman"/>
          <w:color w:val="auto"/>
          <w:sz w:val="28"/>
          <w:szCs w:val="28"/>
          <w:lang w:eastAsia="x-none"/>
        </w:rPr>
        <w:t xml:space="preserve">- </w:t>
      </w:r>
      <w:r w:rsidRPr="0043761D">
        <w:rPr>
          <w:rFonts w:ascii="Times New Roman" w:hAnsi="Times New Roman" w:cs="Times New Roman"/>
          <w:color w:val="auto"/>
          <w:sz w:val="28"/>
          <w:szCs w:val="28"/>
          <w:lang w:val="x-none" w:eastAsia="x-none"/>
        </w:rPr>
        <w:t xml:space="preserve">MP, </w:t>
      </w:r>
      <w:r w:rsidRPr="0043761D">
        <w:rPr>
          <w:rFonts w:ascii="Times New Roman" w:hAnsi="Times New Roman" w:cs="Times New Roman"/>
          <w:color w:val="auto"/>
          <w:sz w:val="28"/>
          <w:szCs w:val="28"/>
          <w:lang w:eastAsia="x-none"/>
        </w:rPr>
        <w:t xml:space="preserve">quarterly frequency </w:t>
      </w:r>
      <w:r w:rsidRPr="0043761D">
        <w:rPr>
          <w:rFonts w:ascii="Times New Roman" w:hAnsi="Times New Roman" w:cs="Times New Roman"/>
          <w:color w:val="auto"/>
          <w:sz w:val="28"/>
          <w:szCs w:val="28"/>
          <w:lang w:val="x-none" w:eastAsia="x-none"/>
        </w:rPr>
        <w:t>).</w:t>
      </w:r>
    </w:p>
    <w:p w:rsidR="00AC2B25" w:rsidRPr="0043761D" w:rsidRDefault="00AC2B25" w:rsidP="00AC2B25">
      <w:pPr>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lang w:val="x-none" w:eastAsia="x-none"/>
        </w:rPr>
      </w:pPr>
      <w:r w:rsidRPr="0043761D">
        <w:rPr>
          <w:rFonts w:ascii="Times New Roman" w:hAnsi="Times New Roman" w:cs="Times New Roman"/>
          <w:color w:val="auto"/>
          <w:sz w:val="28"/>
          <w:szCs w:val="28"/>
          <w:lang w:val="x-none" w:eastAsia="x-none"/>
        </w:rPr>
        <w:t>In order to exclude the influence of price changes (holding gain/loss), to determine the change in inventories, a calculation is used, according to which the assessment of inventories at the beginning and end of the reporting period is carried out at average prices of the reporting period.</w:t>
      </w:r>
    </w:p>
    <w:p w:rsidR="00AC2B25" w:rsidRPr="0043761D" w:rsidRDefault="00AC2B25" w:rsidP="00AC2B25">
      <w:pPr>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lang w:val="x-none" w:eastAsia="x-none"/>
        </w:rPr>
      </w:pPr>
      <w:r w:rsidRPr="0043761D">
        <w:rPr>
          <w:rFonts w:ascii="Times New Roman" w:hAnsi="Times New Roman" w:cs="Times New Roman"/>
          <w:color w:val="auto"/>
          <w:sz w:val="28"/>
          <w:szCs w:val="28"/>
          <w:lang w:val="x-none" w:eastAsia="x-none"/>
        </w:rPr>
        <w:t>Due to the uneven change in stocks and prices during the year, the calculations are carried out quarterly, and the sum of data by quarter is the amount of change in inventories for the year.</w:t>
      </w:r>
      <w:r w:rsidRPr="0043761D">
        <w:rPr>
          <w:rFonts w:ascii="Times New Roman" w:hAnsi="Times New Roman" w:cs="Times New Roman"/>
          <w:color w:val="auto"/>
          <w:sz w:val="28"/>
          <w:szCs w:val="28"/>
          <w:lang w:eastAsia="x-none"/>
        </w:rPr>
        <w:t xml:space="preserve"> </w:t>
      </w:r>
    </w:p>
    <w:p w:rsidR="00AC2B25" w:rsidRPr="0043761D" w:rsidRDefault="00AC2B25" w:rsidP="00AC2B25">
      <w:pPr>
        <w:widowControl/>
        <w:numPr>
          <w:ilvl w:val="0"/>
          <w:numId w:val="2"/>
        </w:numPr>
        <w:tabs>
          <w:tab w:val="left" w:pos="1134"/>
        </w:tabs>
        <w:autoSpaceDE w:val="0"/>
        <w:autoSpaceDN w:val="0"/>
        <w:adjustRightInd w:val="0"/>
        <w:ind w:left="0" w:firstLine="709"/>
        <w:jc w:val="both"/>
        <w:rPr>
          <w:sz w:val="28"/>
          <w:szCs w:val="28"/>
        </w:rPr>
      </w:pPr>
      <w:r w:rsidRPr="0043761D">
        <w:rPr>
          <w:rFonts w:ascii="Times New Roman" w:hAnsi="Times New Roman" w:cs="Times New Roman"/>
          <w:color w:val="auto"/>
          <w:sz w:val="28"/>
          <w:szCs w:val="28"/>
          <w:lang w:val="x-none" w:eastAsia="x-none"/>
        </w:rPr>
        <w:t xml:space="preserve">Appendix 2 to </w:t>
      </w:r>
      <w:r w:rsidRPr="0043761D">
        <w:rPr>
          <w:rFonts w:ascii="Times New Roman" w:hAnsi="Times New Roman" w:cs="Times New Roman"/>
          <w:color w:val="auto"/>
          <w:sz w:val="28"/>
          <w:szCs w:val="28"/>
          <w:lang w:val="kk-KZ" w:eastAsia="x-none"/>
        </w:rPr>
        <w:t xml:space="preserve">this </w:t>
      </w:r>
      <w:r w:rsidRPr="0043761D">
        <w:rPr>
          <w:rFonts w:ascii="Times New Roman" w:hAnsi="Times New Roman" w:cs="Times New Roman"/>
          <w:color w:val="auto"/>
          <w:sz w:val="28"/>
          <w:szCs w:val="28"/>
          <w:lang w:val="x-none" w:eastAsia="x-none"/>
        </w:rPr>
        <w:t>Methodology shows the calculation of stocks for 2012 using the example of the "Crop and livestock breeding, hunting and provision of services" industry.</w:t>
      </w:r>
    </w:p>
    <w:p w:rsidR="00AC2B25" w:rsidRPr="0043761D" w:rsidRDefault="00AC2B25" w:rsidP="00AC2B25">
      <w:pPr>
        <w:widowControl/>
        <w:numPr>
          <w:ilvl w:val="0"/>
          <w:numId w:val="2"/>
        </w:numPr>
        <w:tabs>
          <w:tab w:val="left" w:pos="1134"/>
        </w:tabs>
        <w:autoSpaceDE w:val="0"/>
        <w:autoSpaceDN w:val="0"/>
        <w:adjustRightInd w:val="0"/>
        <w:ind w:left="0" w:firstLine="709"/>
        <w:jc w:val="both"/>
        <w:rPr>
          <w:rFonts w:ascii="Times New Roman" w:hAnsi="Times New Roman" w:cs="Times New Roman"/>
          <w:color w:val="auto"/>
          <w:sz w:val="28"/>
          <w:szCs w:val="28"/>
          <w:lang w:val="x-none" w:eastAsia="x-none"/>
        </w:rPr>
      </w:pPr>
      <w:r w:rsidRPr="0043761D">
        <w:rPr>
          <w:rFonts w:ascii="Times New Roman" w:hAnsi="Times New Roman" w:cs="Times New Roman"/>
          <w:color w:val="auto"/>
          <w:sz w:val="28"/>
          <w:szCs w:val="28"/>
          <w:lang w:val="x-none" w:eastAsia="x-none"/>
        </w:rPr>
        <w:t>The calculation of changes in the value of inventories in other industries is calculated in a similar way.</w:t>
      </w:r>
    </w:p>
    <w:p w:rsidR="00AC2B25" w:rsidRPr="0043761D" w:rsidRDefault="00AC2B25" w:rsidP="00AC2B25">
      <w:pPr>
        <w:pStyle w:val="2"/>
        <w:shd w:val="clear" w:color="auto" w:fill="auto"/>
        <w:tabs>
          <w:tab w:val="left" w:pos="1134"/>
        </w:tabs>
        <w:spacing w:before="0" w:line="240" w:lineRule="auto"/>
        <w:ind w:firstLine="709"/>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FC2D4E" w:rsidP="00AC2B25">
      <w:pPr>
        <w:pStyle w:val="2"/>
        <w:shd w:val="clear" w:color="auto" w:fill="auto"/>
        <w:tabs>
          <w:tab w:val="left" w:pos="313"/>
          <w:tab w:val="left" w:pos="993"/>
        </w:tabs>
        <w:spacing w:before="0" w:line="240" w:lineRule="auto"/>
        <w:ind w:firstLine="5529"/>
        <w:jc w:val="left"/>
        <w:rPr>
          <w:sz w:val="24"/>
          <w:szCs w:val="24"/>
        </w:rPr>
      </w:pPr>
      <w:r>
        <w:rPr>
          <w:sz w:val="24"/>
          <w:szCs w:val="24"/>
        </w:rPr>
        <w:t>Appendix 1</w:t>
      </w:r>
    </w:p>
    <w:p w:rsidR="00AC2B25" w:rsidRPr="00FC2D4E" w:rsidRDefault="00FC2D4E" w:rsidP="00AC2B25">
      <w:pPr>
        <w:pStyle w:val="2"/>
        <w:tabs>
          <w:tab w:val="left" w:pos="313"/>
          <w:tab w:val="left" w:pos="993"/>
        </w:tabs>
        <w:spacing w:before="0" w:line="240" w:lineRule="auto"/>
        <w:ind w:firstLine="5529"/>
        <w:jc w:val="left"/>
        <w:rPr>
          <w:sz w:val="24"/>
          <w:szCs w:val="24"/>
          <w:lang w:val="en-US"/>
        </w:rPr>
      </w:pPr>
      <w:r w:rsidRPr="00FC2D4E">
        <w:rPr>
          <w:sz w:val="24"/>
          <w:szCs w:val="24"/>
          <w:lang w:val="en-US"/>
        </w:rPr>
        <w:t>to the Methodology for accounting for changes in inventories</w:t>
      </w:r>
    </w:p>
    <w:p w:rsidR="00AC2B25" w:rsidRPr="0043761D" w:rsidRDefault="00AC2B25" w:rsidP="00AC2B25">
      <w:pPr>
        <w:pStyle w:val="2"/>
        <w:tabs>
          <w:tab w:val="left" w:pos="313"/>
          <w:tab w:val="left" w:pos="993"/>
        </w:tabs>
        <w:spacing w:before="0" w:line="240" w:lineRule="auto"/>
        <w:ind w:firstLine="0"/>
        <w:rPr>
          <w:b/>
          <w:sz w:val="28"/>
          <w:szCs w:val="28"/>
        </w:rPr>
      </w:pPr>
      <w:r w:rsidRPr="0043761D">
        <w:rPr>
          <w:b/>
          <w:sz w:val="28"/>
          <w:szCs w:val="28"/>
        </w:rPr>
        <w:t>Information sources</w:t>
      </w:r>
    </w:p>
    <w:p w:rsidR="00AC2B25" w:rsidRPr="0043761D" w:rsidRDefault="00AC2B25" w:rsidP="00AC2B25">
      <w:pPr>
        <w:pStyle w:val="2"/>
        <w:shd w:val="clear" w:color="auto" w:fill="auto"/>
        <w:tabs>
          <w:tab w:val="left" w:pos="313"/>
          <w:tab w:val="left" w:pos="993"/>
        </w:tabs>
        <w:spacing w:before="0"/>
        <w:ind w:firstLine="0"/>
        <w:jc w:val="both"/>
        <w:rPr>
          <w:sz w:val="28"/>
          <w:szCs w:val="28"/>
        </w:rPr>
      </w:pPr>
    </w:p>
    <w:tbl>
      <w:tblPr>
        <w:tblW w:w="9639" w:type="dxa"/>
        <w:tblInd w:w="94" w:type="dxa"/>
        <w:tblLook w:val="00A0" w:firstRow="1" w:lastRow="0" w:firstColumn="1" w:lastColumn="0" w:noHBand="0" w:noVBand="0"/>
      </w:tblPr>
      <w:tblGrid>
        <w:gridCol w:w="4409"/>
        <w:gridCol w:w="5230"/>
      </w:tblGrid>
      <w:tr w:rsidR="00AC2B25" w:rsidRPr="0043761D" w:rsidTr="008E7D8E">
        <w:trPr>
          <w:trHeight w:val="253"/>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jc w:val="center"/>
              <w:rPr>
                <w:rFonts w:ascii="Times New Roman" w:hAnsi="Times New Roman" w:cs="Times New Roman"/>
              </w:rPr>
            </w:pPr>
            <w:r w:rsidRPr="0043761D">
              <w:rPr>
                <w:rFonts w:ascii="Times New Roman" w:hAnsi="Times New Roman" w:cs="Times New Roman"/>
                <w:bCs/>
              </w:rPr>
              <w:t xml:space="preserve">Name of </w:t>
            </w:r>
            <w:r w:rsidRPr="0043761D">
              <w:rPr>
                <w:rFonts w:ascii="Times New Roman" w:hAnsi="Times New Roman" w:cs="Times New Roman"/>
              </w:rPr>
              <w:t>species</w:t>
            </w:r>
          </w:p>
          <w:p w:rsidR="00AC2B25" w:rsidRPr="0043761D" w:rsidRDefault="00AC2B25" w:rsidP="008E7D8E">
            <w:pPr>
              <w:widowControl/>
              <w:jc w:val="center"/>
              <w:rPr>
                <w:rFonts w:ascii="Times New Roman" w:hAnsi="Times New Roman" w:cs="Times New Roman"/>
                <w:bCs/>
              </w:rPr>
            </w:pPr>
            <w:r w:rsidRPr="0043761D">
              <w:rPr>
                <w:rFonts w:ascii="Times New Roman" w:hAnsi="Times New Roman" w:cs="Times New Roman"/>
              </w:rPr>
              <w:t>economic activity</w:t>
            </w:r>
          </w:p>
        </w:tc>
        <w:tc>
          <w:tcPr>
            <w:tcW w:w="5230" w:type="dxa"/>
            <w:tcBorders>
              <w:top w:val="single" w:sz="4" w:space="0" w:color="auto"/>
              <w:left w:val="nil"/>
              <w:bottom w:val="single" w:sz="4" w:space="0" w:color="auto"/>
              <w:right w:val="single" w:sz="4" w:space="0" w:color="auto"/>
            </w:tcBorders>
            <w:vAlign w:val="center"/>
          </w:tcPr>
          <w:p w:rsidR="00AC2B25" w:rsidRPr="0043761D" w:rsidRDefault="00AC2B25" w:rsidP="008E7D8E">
            <w:pPr>
              <w:widowControl/>
              <w:jc w:val="center"/>
              <w:rPr>
                <w:rFonts w:ascii="Times New Roman" w:hAnsi="Times New Roman" w:cs="Times New Roman"/>
                <w:bCs/>
              </w:rPr>
            </w:pPr>
            <w:r w:rsidRPr="0043761D">
              <w:rPr>
                <w:rFonts w:ascii="Times New Roman" w:hAnsi="Times New Roman" w:cs="Times New Roman"/>
                <w:bCs/>
              </w:rPr>
              <w:t>Information sources</w:t>
            </w:r>
          </w:p>
        </w:tc>
      </w:tr>
      <w:tr w:rsidR="00AC2B25" w:rsidRPr="0043761D" w:rsidTr="008E7D8E">
        <w:trPr>
          <w:trHeight w:val="253"/>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bCs/>
              </w:rPr>
            </w:pPr>
            <w:r w:rsidRPr="0043761D">
              <w:rPr>
                <w:rFonts w:ascii="Times New Roman" w:hAnsi="Times New Roman" w:cs="Times New Roman"/>
                <w:bCs/>
              </w:rPr>
              <w:lastRenderedPageBreak/>
              <w:t>Crop and animal husbandry, hunting and provision of services in these areas</w:t>
            </w:r>
          </w:p>
        </w:tc>
        <w:tc>
          <w:tcPr>
            <w:tcW w:w="5230" w:type="dxa"/>
            <w:tcBorders>
              <w:top w:val="single" w:sz="4" w:space="0" w:color="auto"/>
              <w:left w:val="nil"/>
              <w:bottom w:val="single" w:sz="4" w:space="0" w:color="auto"/>
              <w:right w:val="single" w:sz="4" w:space="0" w:color="auto"/>
            </w:tcBorders>
            <w:vAlign w:val="center"/>
          </w:tcPr>
          <w:p w:rsidR="00AC2B25" w:rsidRPr="0043761D" w:rsidRDefault="00AC2B25" w:rsidP="008E7D8E">
            <w:pPr>
              <w:widowControl/>
              <w:rPr>
                <w:rFonts w:ascii="Times New Roman" w:hAnsi="Times New Roman" w:cs="Times New Roman"/>
                <w:bCs/>
              </w:rPr>
            </w:pPr>
            <w:r w:rsidRPr="0043761D">
              <w:rPr>
                <w:rFonts w:ascii="Times New Roman" w:hAnsi="Times New Roman" w:cs="Times New Roman"/>
              </w:rPr>
              <w:t>Price index of sales of agricultural products in the Republic of Kazakhstan</w:t>
            </w:r>
          </w:p>
        </w:tc>
      </w:tr>
      <w:tr w:rsidR="00AC2B25" w:rsidRPr="0043761D" w:rsidTr="008E7D8E">
        <w:trPr>
          <w:trHeight w:val="416"/>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Forestry and logging</w:t>
            </w:r>
          </w:p>
        </w:tc>
        <w:tc>
          <w:tcPr>
            <w:tcW w:w="5230" w:type="dxa"/>
            <w:tcBorders>
              <w:top w:val="nil"/>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 xml:space="preserve">Price index of enterprises producing industrial products and services </w:t>
            </w:r>
            <w:r>
              <w:rPr>
                <w:rFonts w:ascii="Times New Roman" w:hAnsi="Times New Roman" w:cs="Times New Roman"/>
                <w:lang w:val="kk-KZ"/>
              </w:rPr>
              <w:t xml:space="preserve">and forestry </w:t>
            </w:r>
            <w:r w:rsidRPr="0043761D">
              <w:rPr>
                <w:rFonts w:ascii="Times New Roman" w:hAnsi="Times New Roman" w:cs="Times New Roman"/>
              </w:rPr>
              <w:t>in the Republic of Kazakhstan</w:t>
            </w:r>
          </w:p>
        </w:tc>
      </w:tr>
      <w:tr w:rsidR="00AC2B25" w:rsidRPr="0043761D" w:rsidTr="008E7D8E">
        <w:trPr>
          <w:trHeight w:val="660"/>
        </w:trPr>
        <w:tc>
          <w:tcPr>
            <w:tcW w:w="4409" w:type="dxa"/>
            <w:tcBorders>
              <w:top w:val="nil"/>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Fisheries and aquaculture</w:t>
            </w:r>
          </w:p>
        </w:tc>
        <w:tc>
          <w:tcPr>
            <w:tcW w:w="5230" w:type="dxa"/>
            <w:tcBorders>
              <w:top w:val="nil"/>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Price index for fishery and aquaculture products in the Republic of Kazakhstan</w:t>
            </w:r>
          </w:p>
        </w:tc>
      </w:tr>
      <w:tr w:rsidR="00AC2B25" w:rsidRPr="0043761D" w:rsidTr="008E7D8E">
        <w:trPr>
          <w:trHeight w:val="848"/>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Mining and quarrying/Coal and lignite mining</w:t>
            </w:r>
          </w:p>
        </w:tc>
        <w:tc>
          <w:tcPr>
            <w:tcW w:w="5230" w:type="dxa"/>
            <w:tcBorders>
              <w:top w:val="nil"/>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23"/>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Mining of metal ores</w:t>
            </w:r>
          </w:p>
        </w:tc>
        <w:tc>
          <w:tcPr>
            <w:tcW w:w="5230" w:type="dxa"/>
            <w:tcBorders>
              <w:top w:val="nil"/>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630"/>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Other mining industries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97"/>
        </w:trPr>
        <w:tc>
          <w:tcPr>
            <w:tcW w:w="4409" w:type="dxa"/>
            <w:tcBorders>
              <w:top w:val="nil"/>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Food production</w:t>
            </w:r>
          </w:p>
        </w:tc>
        <w:tc>
          <w:tcPr>
            <w:tcW w:w="5230" w:type="dxa"/>
            <w:tcBorders>
              <w:top w:val="nil"/>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630"/>
        </w:trPr>
        <w:tc>
          <w:tcPr>
            <w:tcW w:w="4409" w:type="dxa"/>
            <w:tcBorders>
              <w:top w:val="single" w:sz="4" w:space="0" w:color="auto"/>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Beverage production</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628"/>
        </w:trPr>
        <w:tc>
          <w:tcPr>
            <w:tcW w:w="4409" w:type="dxa"/>
            <w:tcBorders>
              <w:top w:val="nil"/>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Textile production</w:t>
            </w:r>
          </w:p>
        </w:tc>
        <w:tc>
          <w:tcPr>
            <w:tcW w:w="5230" w:type="dxa"/>
            <w:tcBorders>
              <w:top w:val="nil"/>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645"/>
        </w:trPr>
        <w:tc>
          <w:tcPr>
            <w:tcW w:w="4409" w:type="dxa"/>
            <w:tcBorders>
              <w:top w:val="single" w:sz="4" w:space="0" w:color="auto"/>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Manufacture of wearing apparel</w:t>
            </w:r>
          </w:p>
        </w:tc>
        <w:tc>
          <w:tcPr>
            <w:tcW w:w="5230"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604"/>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Manufacture of leather and related products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274"/>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Manufacture of wood and cork products, except for furniture; manufacture of products from straw and plaiting materials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86"/>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Production of paper and paper pulp</w:t>
            </w:r>
          </w:p>
        </w:tc>
        <w:tc>
          <w:tcPr>
            <w:tcW w:w="5230"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614"/>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Printing and playback of recorded materials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647"/>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Production of coke and refined petroleum products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621"/>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Production of chemical industry products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65"/>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Production of basic pharmaceutical products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65"/>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lastRenderedPageBreak/>
              <w:t>Manufacture of rubber and plastic products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841"/>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Manufacture of other non-metallic mineral products</w:t>
            </w:r>
          </w:p>
        </w:tc>
        <w:tc>
          <w:tcPr>
            <w:tcW w:w="5230" w:type="dxa"/>
            <w:tcBorders>
              <w:top w:val="nil"/>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57"/>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Metallurgical industry</w:t>
            </w:r>
          </w:p>
        </w:tc>
        <w:tc>
          <w:tcPr>
            <w:tcW w:w="5230" w:type="dxa"/>
            <w:tcBorders>
              <w:top w:val="nil"/>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292"/>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Manufacture of finished metal products except machinery and equipment</w:t>
            </w:r>
          </w:p>
        </w:tc>
        <w:tc>
          <w:tcPr>
            <w:tcW w:w="5230" w:type="dxa"/>
            <w:tcBorders>
              <w:top w:val="nil"/>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63"/>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Manufacture of computers, electronic and optical products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16"/>
        </w:trPr>
        <w:tc>
          <w:tcPr>
            <w:tcW w:w="4409" w:type="dxa"/>
            <w:tcBorders>
              <w:top w:val="single" w:sz="4" w:space="0" w:color="auto"/>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Production of electrical equipment</w:t>
            </w:r>
          </w:p>
        </w:tc>
        <w:tc>
          <w:tcPr>
            <w:tcW w:w="5230"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772"/>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Manufacture of machinery and equipment n.e.c.</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23"/>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Manufacture of motor vehicles, trailers and semi-trailers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90"/>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Manufacture of other vehicles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645"/>
        </w:trPr>
        <w:tc>
          <w:tcPr>
            <w:tcW w:w="4409" w:type="dxa"/>
            <w:tcBorders>
              <w:top w:val="single" w:sz="4" w:space="0" w:color="auto"/>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Furniture manufacture</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48"/>
        </w:trPr>
        <w:tc>
          <w:tcPr>
            <w:tcW w:w="4409" w:type="dxa"/>
            <w:tcBorders>
              <w:top w:val="single" w:sz="4" w:space="0" w:color="auto"/>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Manufacture of other finished products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690"/>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Repair and installation of machinery and equipment</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66"/>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Power supply, gas supply, steam supply and air conditioning</w:t>
            </w:r>
          </w:p>
        </w:tc>
        <w:tc>
          <w:tcPr>
            <w:tcW w:w="5230" w:type="dxa"/>
            <w:tcBorders>
              <w:top w:val="nil"/>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630"/>
        </w:trPr>
        <w:tc>
          <w:tcPr>
            <w:tcW w:w="4409" w:type="dxa"/>
            <w:tcBorders>
              <w:top w:val="single" w:sz="4" w:space="0" w:color="auto"/>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Collection, treatment and distribution of water</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566"/>
        </w:trPr>
        <w:tc>
          <w:tcPr>
            <w:tcW w:w="4409" w:type="dxa"/>
            <w:tcBorders>
              <w:top w:val="nil"/>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color w:val="auto"/>
              </w:rPr>
            </w:pPr>
            <w:r w:rsidRPr="0043761D">
              <w:rPr>
                <w:rFonts w:ascii="Times New Roman" w:hAnsi="Times New Roman" w:cs="Times New Roman"/>
                <w:color w:val="auto"/>
              </w:rPr>
              <w:t>Sewer system</w:t>
            </w:r>
          </w:p>
        </w:tc>
        <w:tc>
          <w:tcPr>
            <w:tcW w:w="5230" w:type="dxa"/>
            <w:tcBorders>
              <w:top w:val="nil"/>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color w:val="auto"/>
              </w:rPr>
            </w:pPr>
            <w:r w:rsidRPr="0043761D">
              <w:rPr>
                <w:rFonts w:ascii="Times New Roman" w:hAnsi="Times New Roman" w:cs="Times New Roman"/>
                <w:color w:val="auto"/>
              </w:rPr>
              <w:t>Price index of enterprises-manufacturers of industrial products and industrial services in the Republic of Kazakhstan</w:t>
            </w:r>
          </w:p>
        </w:tc>
      </w:tr>
      <w:tr w:rsidR="00AC2B25" w:rsidRPr="0043761D" w:rsidTr="008E7D8E">
        <w:trPr>
          <w:trHeight w:val="453"/>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Collection, treatment and disposal of waste; recycling</w:t>
            </w:r>
          </w:p>
        </w:tc>
        <w:tc>
          <w:tcPr>
            <w:tcW w:w="5230" w:type="dxa"/>
            <w:tcBorders>
              <w:top w:val="nil"/>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397"/>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lastRenderedPageBreak/>
              <w:t>Reclamation and other waste disposal services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Price index of enterprises-manufacturers of industrial products and industrial services in the Republic of Kazakhstan</w:t>
            </w:r>
          </w:p>
        </w:tc>
      </w:tr>
      <w:tr w:rsidR="00AC2B25" w:rsidRPr="0043761D" w:rsidTr="008E7D8E">
        <w:trPr>
          <w:trHeight w:val="313"/>
        </w:trPr>
        <w:tc>
          <w:tcPr>
            <w:tcW w:w="4409" w:type="dxa"/>
            <w:tcBorders>
              <w:top w:val="single" w:sz="4" w:space="0" w:color="auto"/>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Construction</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Price index in construction in the Republic of Kazakhstan</w:t>
            </w:r>
          </w:p>
        </w:tc>
      </w:tr>
      <w:tr w:rsidR="00AC2B25" w:rsidRPr="0043761D" w:rsidTr="008E7D8E">
        <w:trPr>
          <w:trHeight w:val="543"/>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Wholesale and retail trade in cars and motorcycles and their repair</w:t>
            </w:r>
          </w:p>
        </w:tc>
        <w:tc>
          <w:tcPr>
            <w:tcW w:w="5230" w:type="dxa"/>
            <w:tcBorders>
              <w:top w:val="single" w:sz="4" w:space="0" w:color="auto"/>
              <w:left w:val="nil"/>
              <w:bottom w:val="single" w:sz="4" w:space="0" w:color="auto"/>
              <w:right w:val="single" w:sz="4" w:space="0" w:color="auto"/>
            </w:tcBorders>
          </w:tcPr>
          <w:p w:rsidR="00AC2B25" w:rsidRPr="0043761D" w:rsidRDefault="00AC2B25" w:rsidP="0009331D">
            <w:pPr>
              <w:widowControl/>
              <w:rPr>
                <w:rFonts w:ascii="Times New Roman" w:hAnsi="Times New Roman" w:cs="Times New Roman"/>
              </w:rPr>
            </w:pPr>
            <w:r w:rsidRPr="0043761D">
              <w:rPr>
                <w:rFonts w:ascii="Times New Roman" w:hAnsi="Times New Roman" w:cs="Times New Roman"/>
              </w:rPr>
              <w:t>Retail</w:t>
            </w:r>
            <w:r w:rsidR="0009331D">
              <w:rPr>
                <w:rFonts w:ascii="Times New Roman" w:hAnsi="Times New Roman" w:cs="Times New Roman"/>
              </w:rPr>
              <w:t xml:space="preserve"> trade</w:t>
            </w:r>
            <w:r w:rsidRPr="0043761D">
              <w:rPr>
                <w:rFonts w:ascii="Times New Roman" w:hAnsi="Times New Roman" w:cs="Times New Roman"/>
              </w:rPr>
              <w:t xml:space="preserve"> price index in the Republic of Kazakhstan</w:t>
            </w:r>
          </w:p>
        </w:tc>
      </w:tr>
      <w:tr w:rsidR="00AC2B25" w:rsidRPr="0043761D" w:rsidTr="008E7D8E">
        <w:trPr>
          <w:trHeight w:val="566"/>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Wholesale, except for cars and motorcycles</w:t>
            </w:r>
          </w:p>
        </w:tc>
        <w:tc>
          <w:tcPr>
            <w:tcW w:w="5230" w:type="dxa"/>
            <w:tcBorders>
              <w:top w:val="nil"/>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Wholesale</w:t>
            </w:r>
            <w:r w:rsidR="0009331D">
              <w:rPr>
                <w:rFonts w:ascii="Times New Roman" w:hAnsi="Times New Roman" w:cs="Times New Roman"/>
              </w:rPr>
              <w:t xml:space="preserve"> trade</w:t>
            </w:r>
            <w:bookmarkStart w:id="0" w:name="_GoBack"/>
            <w:bookmarkEnd w:id="0"/>
            <w:r w:rsidRPr="0043761D">
              <w:rPr>
                <w:rFonts w:ascii="Times New Roman" w:hAnsi="Times New Roman" w:cs="Times New Roman"/>
              </w:rPr>
              <w:t xml:space="preserve"> price index in the Republic of Kazakhstan</w:t>
            </w:r>
          </w:p>
        </w:tc>
      </w:tr>
      <w:tr w:rsidR="00AC2B25" w:rsidRPr="0043761D" w:rsidTr="008E7D8E">
        <w:trPr>
          <w:trHeight w:val="566"/>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Retail trade, except for motor vehicles and motorcycles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Retail price index in the Republic of Kazakhstan</w:t>
            </w:r>
          </w:p>
        </w:tc>
      </w:tr>
      <w:tr w:rsidR="00AC2B25" w:rsidRPr="0043761D" w:rsidTr="008E7D8E">
        <w:trPr>
          <w:trHeight w:val="282"/>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Land transport and pipeline transport</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Index of tariffs for the transportation of goods by all modes of transport in the Republic of Kazakhstan</w:t>
            </w:r>
          </w:p>
        </w:tc>
      </w:tr>
      <w:tr w:rsidR="00AC2B25" w:rsidRPr="0043761D" w:rsidTr="008E7D8E">
        <w:trPr>
          <w:trHeight w:val="570"/>
        </w:trPr>
        <w:tc>
          <w:tcPr>
            <w:tcW w:w="4409" w:type="dxa"/>
            <w:tcBorders>
              <w:top w:val="single" w:sz="4" w:space="0" w:color="auto"/>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Water transport</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Index of tariffs for the transportation of goods by all modes of transport in the Republic of Kazakhstan</w:t>
            </w:r>
          </w:p>
        </w:tc>
      </w:tr>
      <w:tr w:rsidR="00AC2B25" w:rsidRPr="0043761D" w:rsidTr="008E7D8E">
        <w:trPr>
          <w:trHeight w:val="512"/>
        </w:trPr>
        <w:tc>
          <w:tcPr>
            <w:tcW w:w="4409" w:type="dxa"/>
            <w:tcBorders>
              <w:top w:val="single" w:sz="4" w:space="0" w:color="auto"/>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Air Transport</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Index of tariffs for the transportation of goods by all modes of transport in the Republic of Kazakhstan</w:t>
            </w:r>
          </w:p>
        </w:tc>
      </w:tr>
      <w:tr w:rsidR="00AC2B25" w:rsidRPr="0043761D" w:rsidTr="008E7D8E">
        <w:trPr>
          <w:trHeight w:val="690"/>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Warehousing and auxiliary transport activities</w:t>
            </w:r>
          </w:p>
        </w:tc>
        <w:tc>
          <w:tcPr>
            <w:tcW w:w="5230" w:type="dxa"/>
            <w:tcBorders>
              <w:top w:val="nil"/>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Index of tariffs for the transportation of goods by all modes of transport in the Republic of Kazakhstan</w:t>
            </w:r>
          </w:p>
        </w:tc>
      </w:tr>
      <w:tr w:rsidR="00AC2B25" w:rsidRPr="0043761D" w:rsidTr="008E7D8E">
        <w:trPr>
          <w:trHeight w:val="630"/>
        </w:trPr>
        <w:tc>
          <w:tcPr>
            <w:tcW w:w="4409" w:type="dxa"/>
            <w:tcBorders>
              <w:top w:val="single" w:sz="4" w:space="0" w:color="auto"/>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Postal and courier activities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Index of tariffs for postal, courier and communication services for legal entities in the Republic of Kazakhstan</w:t>
            </w:r>
          </w:p>
        </w:tc>
      </w:tr>
      <w:tr w:rsidR="00AC2B25" w:rsidRPr="0043761D" w:rsidTr="008E7D8E">
        <w:trPr>
          <w:trHeight w:val="515"/>
        </w:trPr>
        <w:tc>
          <w:tcPr>
            <w:tcW w:w="4409" w:type="dxa"/>
            <w:tcBorders>
              <w:top w:val="nil"/>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Accommodation services</w:t>
            </w:r>
          </w:p>
        </w:tc>
        <w:tc>
          <w:tcPr>
            <w:tcW w:w="5230" w:type="dxa"/>
            <w:tcBorders>
              <w:top w:val="nil"/>
              <w:left w:val="nil"/>
              <w:bottom w:val="single" w:sz="4" w:space="0" w:color="auto"/>
              <w:right w:val="single" w:sz="4" w:space="0" w:color="auto"/>
            </w:tcBorders>
          </w:tcPr>
          <w:p w:rsidR="00AC2B25" w:rsidRPr="0043761D" w:rsidRDefault="00AC2B25" w:rsidP="008E7D8E">
            <w:r w:rsidRPr="0043761D">
              <w:rPr>
                <w:rFonts w:ascii="Times New Roman" w:hAnsi="Times New Roman" w:cs="Times New Roman"/>
              </w:rPr>
              <w:t>Price and tariff indices for paid services in the Republic of Kazakhstan</w:t>
            </w:r>
          </w:p>
        </w:tc>
      </w:tr>
      <w:tr w:rsidR="00AC2B25" w:rsidRPr="0043761D" w:rsidTr="008E7D8E">
        <w:trPr>
          <w:trHeight w:val="531"/>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Food and Beverage Services</w:t>
            </w:r>
          </w:p>
        </w:tc>
        <w:tc>
          <w:tcPr>
            <w:tcW w:w="5230" w:type="dxa"/>
            <w:tcBorders>
              <w:top w:val="nil"/>
              <w:left w:val="nil"/>
              <w:bottom w:val="single" w:sz="4" w:space="0" w:color="auto"/>
              <w:right w:val="single" w:sz="4" w:space="0" w:color="auto"/>
            </w:tcBorders>
          </w:tcPr>
          <w:p w:rsidR="00AC2B25" w:rsidRPr="0043761D" w:rsidRDefault="00AC2B25" w:rsidP="008E7D8E">
            <w:r w:rsidRPr="0043761D">
              <w:rPr>
                <w:rFonts w:ascii="Times New Roman" w:hAnsi="Times New Roman" w:cs="Times New Roman"/>
              </w:rPr>
              <w:t>Price and tariff indices for paid services in the Republic of Kazakhstan</w:t>
            </w:r>
          </w:p>
        </w:tc>
      </w:tr>
      <w:tr w:rsidR="00AC2B25" w:rsidRPr="0043761D" w:rsidTr="008E7D8E">
        <w:trPr>
          <w:trHeight w:val="132"/>
        </w:trPr>
        <w:tc>
          <w:tcPr>
            <w:tcW w:w="4409" w:type="dxa"/>
            <w:tcBorders>
              <w:top w:val="nil"/>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Information and communication</w:t>
            </w:r>
          </w:p>
        </w:tc>
        <w:tc>
          <w:tcPr>
            <w:tcW w:w="5230" w:type="dxa"/>
            <w:tcBorders>
              <w:top w:val="nil"/>
              <w:left w:val="nil"/>
              <w:bottom w:val="single" w:sz="4" w:space="0" w:color="auto"/>
              <w:right w:val="single" w:sz="4" w:space="0" w:color="auto"/>
            </w:tcBorders>
          </w:tcPr>
          <w:p w:rsidR="00AC2B25" w:rsidRPr="0043761D" w:rsidRDefault="00AC2B25" w:rsidP="008E7D8E">
            <w:r w:rsidRPr="0043761D">
              <w:rPr>
                <w:rFonts w:ascii="Times New Roman" w:hAnsi="Times New Roman" w:cs="Times New Roman"/>
              </w:rPr>
              <w:t>Index of tariffs for postal, courier and communication services for legal entities</w:t>
            </w:r>
          </w:p>
        </w:tc>
      </w:tr>
      <w:tr w:rsidR="00AC2B25" w:rsidRPr="0043761D" w:rsidTr="008E7D8E">
        <w:trPr>
          <w:trHeight w:val="572"/>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Financial services, excluding insurance and pension fund services</w:t>
            </w:r>
          </w:p>
        </w:tc>
        <w:tc>
          <w:tcPr>
            <w:tcW w:w="5230" w:type="dxa"/>
            <w:tcBorders>
              <w:top w:val="nil"/>
              <w:left w:val="nil"/>
              <w:bottom w:val="single" w:sz="4" w:space="0" w:color="auto"/>
              <w:right w:val="single" w:sz="4" w:space="0" w:color="auto"/>
            </w:tcBorders>
          </w:tcPr>
          <w:p w:rsidR="00AC2B25" w:rsidRPr="0043761D" w:rsidRDefault="00AC2B25" w:rsidP="008E7D8E">
            <w:r w:rsidRPr="0043761D">
              <w:rPr>
                <w:rFonts w:ascii="Times New Roman" w:hAnsi="Times New Roman" w:cs="Times New Roman"/>
              </w:rPr>
              <w:t>Price and tariff indices for paid services in the Republic of Kazakhstan</w:t>
            </w:r>
          </w:p>
        </w:tc>
      </w:tr>
      <w:tr w:rsidR="00AC2B25" w:rsidRPr="0043761D" w:rsidTr="008E7D8E">
        <w:trPr>
          <w:trHeight w:val="770"/>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Ancillary activities for the provision of financial services and insurance</w:t>
            </w:r>
          </w:p>
        </w:tc>
        <w:tc>
          <w:tcPr>
            <w:tcW w:w="5230" w:type="dxa"/>
            <w:tcBorders>
              <w:top w:val="nil"/>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Price and tariff indices for paid services in the Republic of Kazakhstan</w:t>
            </w:r>
          </w:p>
        </w:tc>
      </w:tr>
      <w:tr w:rsidR="00AC2B25" w:rsidRPr="0043761D" w:rsidTr="008E7D8E">
        <w:trPr>
          <w:trHeight w:val="570"/>
        </w:trPr>
        <w:tc>
          <w:tcPr>
            <w:tcW w:w="4409" w:type="dxa"/>
            <w:tcBorders>
              <w:top w:val="single" w:sz="4" w:space="0" w:color="auto"/>
              <w:left w:val="single" w:sz="4" w:space="0" w:color="auto"/>
              <w:bottom w:val="single" w:sz="4" w:space="0" w:color="auto"/>
              <w:right w:val="single" w:sz="4" w:space="0" w:color="auto"/>
            </w:tcBorders>
            <w:noWrap/>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Operations with real estate</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Index of prices and tariffs for paid services in the Republic of Kazakhstan</w:t>
            </w:r>
          </w:p>
        </w:tc>
      </w:tr>
      <w:tr w:rsidR="00AC2B25" w:rsidRPr="0043761D" w:rsidTr="008E7D8E">
        <w:trPr>
          <w:trHeight w:val="566"/>
        </w:trPr>
        <w:tc>
          <w:tcPr>
            <w:tcW w:w="4409" w:type="dxa"/>
            <w:tcBorders>
              <w:top w:val="nil"/>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Professional, scientific and technical activities</w:t>
            </w:r>
          </w:p>
        </w:tc>
        <w:tc>
          <w:tcPr>
            <w:tcW w:w="5230" w:type="dxa"/>
            <w:tcBorders>
              <w:top w:val="nil"/>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Price and tariff indices for paid services in the Republic of Kazakhstan</w:t>
            </w:r>
          </w:p>
        </w:tc>
      </w:tr>
      <w:tr w:rsidR="00AC2B25" w:rsidRPr="0043761D" w:rsidTr="008E7D8E">
        <w:trPr>
          <w:trHeight w:val="630"/>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Arts, entertainment and recreation</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Price and tariff indices for paid services in the Republic of Kazakhstan</w:t>
            </w:r>
          </w:p>
        </w:tc>
      </w:tr>
      <w:tr w:rsidR="00AC2B25" w:rsidRPr="0043761D" w:rsidTr="008E7D8E">
        <w:trPr>
          <w:trHeight w:val="572"/>
        </w:trPr>
        <w:tc>
          <w:tcPr>
            <w:tcW w:w="4409" w:type="dxa"/>
            <w:tcBorders>
              <w:top w:val="single" w:sz="4" w:space="0" w:color="auto"/>
              <w:left w:val="single" w:sz="4" w:space="0" w:color="auto"/>
              <w:bottom w:val="single" w:sz="4" w:space="0" w:color="auto"/>
              <w:right w:val="single" w:sz="4" w:space="0" w:color="auto"/>
            </w:tcBorders>
          </w:tcPr>
          <w:p w:rsidR="00AC2B25" w:rsidRPr="0043761D" w:rsidRDefault="00AC2B25" w:rsidP="008E7D8E">
            <w:pPr>
              <w:widowControl/>
              <w:rPr>
                <w:rFonts w:ascii="Times New Roman" w:hAnsi="Times New Roman" w:cs="Times New Roman"/>
              </w:rPr>
            </w:pPr>
            <w:r w:rsidRPr="0043761D">
              <w:rPr>
                <w:rFonts w:ascii="Times New Roman" w:hAnsi="Times New Roman" w:cs="Times New Roman"/>
              </w:rPr>
              <w:t>Provision of other types of services</w:t>
            </w:r>
          </w:p>
        </w:tc>
        <w:tc>
          <w:tcPr>
            <w:tcW w:w="5230" w:type="dxa"/>
            <w:tcBorders>
              <w:top w:val="single" w:sz="4" w:space="0" w:color="auto"/>
              <w:left w:val="nil"/>
              <w:bottom w:val="single" w:sz="4" w:space="0" w:color="auto"/>
              <w:right w:val="single" w:sz="4" w:space="0" w:color="auto"/>
            </w:tcBorders>
          </w:tcPr>
          <w:p w:rsidR="00AC2B25" w:rsidRPr="0043761D" w:rsidRDefault="00AC2B25" w:rsidP="008E7D8E">
            <w:pPr>
              <w:widowControl/>
              <w:rPr>
                <w:rFonts w:ascii="Times New Roman" w:hAnsi="Times New Roman" w:cs="Times New Roman"/>
                <w:color w:val="auto"/>
              </w:rPr>
            </w:pPr>
            <w:r w:rsidRPr="0043761D">
              <w:rPr>
                <w:rFonts w:ascii="Times New Roman" w:hAnsi="Times New Roman" w:cs="Times New Roman"/>
              </w:rPr>
              <w:t>Price and tariff indices for paid services in the Republic of Kazakhstan</w:t>
            </w:r>
          </w:p>
        </w:tc>
      </w:tr>
    </w:tbl>
    <w:p w:rsidR="00AC2B25" w:rsidRPr="0043761D" w:rsidRDefault="00AC2B25" w:rsidP="00AC2B25">
      <w:pPr>
        <w:pStyle w:val="2"/>
        <w:shd w:val="clear" w:color="auto" w:fill="auto"/>
        <w:tabs>
          <w:tab w:val="left" w:pos="313"/>
          <w:tab w:val="left" w:pos="993"/>
        </w:tabs>
        <w:spacing w:before="0"/>
        <w:ind w:firstLine="0"/>
        <w:jc w:val="both"/>
        <w:rPr>
          <w:sz w:val="28"/>
          <w:szCs w:val="28"/>
        </w:rPr>
      </w:pPr>
    </w:p>
    <w:p w:rsidR="00AC2B25" w:rsidRPr="0043761D" w:rsidRDefault="00AC2B25" w:rsidP="00AC2B25">
      <w:pPr>
        <w:pStyle w:val="2"/>
        <w:shd w:val="clear" w:color="auto" w:fill="auto"/>
        <w:tabs>
          <w:tab w:val="left" w:pos="313"/>
          <w:tab w:val="left" w:pos="993"/>
        </w:tabs>
        <w:spacing w:before="0"/>
        <w:ind w:firstLine="0"/>
        <w:jc w:val="both"/>
        <w:rPr>
          <w:sz w:val="28"/>
          <w:szCs w:val="28"/>
        </w:rPr>
        <w:sectPr w:rsidR="00AC2B25" w:rsidRPr="0043761D" w:rsidSect="00EF7E70">
          <w:headerReference w:type="default" r:id="rId21"/>
          <w:pgSz w:w="11909" w:h="16838"/>
          <w:pgMar w:top="1418" w:right="851" w:bottom="1418" w:left="1418" w:header="284" w:footer="0" w:gutter="0"/>
          <w:pgNumType w:start="1" w:chapStyle="1"/>
          <w:cols w:space="720"/>
          <w:noEndnote/>
          <w:titlePg/>
          <w:docGrid w:linePitch="360"/>
        </w:sectPr>
      </w:pPr>
    </w:p>
    <w:p w:rsidR="00FC2D4E" w:rsidRPr="00FC2D4E" w:rsidRDefault="00FC2D4E" w:rsidP="00FC2D4E">
      <w:pPr>
        <w:pStyle w:val="50"/>
        <w:tabs>
          <w:tab w:val="left" w:pos="1276"/>
        </w:tabs>
        <w:spacing w:line="260" w:lineRule="exact"/>
        <w:ind w:left="6521" w:right="-32"/>
        <w:jc w:val="left"/>
        <w:rPr>
          <w:bCs/>
          <w:sz w:val="24"/>
          <w:szCs w:val="24"/>
        </w:rPr>
      </w:pPr>
      <w:r>
        <w:rPr>
          <w:bCs/>
          <w:sz w:val="24"/>
          <w:szCs w:val="24"/>
          <w:lang w:val="en-US"/>
        </w:rPr>
        <w:lastRenderedPageBreak/>
        <w:t xml:space="preserve">A </w:t>
      </w:r>
      <w:r w:rsidRPr="00FC2D4E">
        <w:rPr>
          <w:bCs/>
          <w:sz w:val="24"/>
          <w:szCs w:val="24"/>
        </w:rPr>
        <w:t>ppendix 2</w:t>
      </w:r>
    </w:p>
    <w:p w:rsidR="00AC2B25" w:rsidRPr="00FC2D4E" w:rsidRDefault="00FC2D4E" w:rsidP="00FC2D4E">
      <w:pPr>
        <w:pStyle w:val="50"/>
        <w:shd w:val="clear" w:color="auto" w:fill="auto"/>
        <w:tabs>
          <w:tab w:val="left" w:pos="1276"/>
        </w:tabs>
        <w:spacing w:before="0" w:after="0" w:line="260" w:lineRule="exact"/>
        <w:ind w:left="6521" w:right="-32"/>
        <w:jc w:val="left"/>
        <w:rPr>
          <w:bCs/>
          <w:sz w:val="24"/>
          <w:szCs w:val="24"/>
          <w:lang w:val="en-US"/>
        </w:rPr>
      </w:pPr>
      <w:r w:rsidRPr="00FC2D4E">
        <w:rPr>
          <w:bCs/>
          <w:sz w:val="24"/>
          <w:szCs w:val="24"/>
          <w:lang w:val="en-US"/>
        </w:rPr>
        <w:t>to the Methodology for accounting for changes in inventories</w:t>
      </w:r>
    </w:p>
    <w:tbl>
      <w:tblPr>
        <w:tblW w:w="14984" w:type="dxa"/>
        <w:tblInd w:w="108" w:type="dxa"/>
        <w:tblLayout w:type="fixed"/>
        <w:tblLook w:val="00A0" w:firstRow="1" w:lastRow="0" w:firstColumn="1" w:lastColumn="0" w:noHBand="0" w:noVBand="0"/>
      </w:tblPr>
      <w:tblGrid>
        <w:gridCol w:w="1134"/>
        <w:gridCol w:w="686"/>
        <w:gridCol w:w="448"/>
        <w:gridCol w:w="1134"/>
        <w:gridCol w:w="893"/>
        <w:gridCol w:w="323"/>
        <w:gridCol w:w="838"/>
        <w:gridCol w:w="296"/>
        <w:gridCol w:w="911"/>
        <w:gridCol w:w="962"/>
        <w:gridCol w:w="231"/>
        <w:gridCol w:w="819"/>
        <w:gridCol w:w="315"/>
        <w:gridCol w:w="817"/>
        <w:gridCol w:w="317"/>
        <w:gridCol w:w="40"/>
        <w:gridCol w:w="1236"/>
        <w:gridCol w:w="40"/>
        <w:gridCol w:w="952"/>
        <w:gridCol w:w="40"/>
        <w:gridCol w:w="1236"/>
        <w:gridCol w:w="40"/>
        <w:gridCol w:w="1236"/>
        <w:gridCol w:w="40"/>
      </w:tblGrid>
      <w:tr w:rsidR="00AC2B25" w:rsidRPr="0043761D" w:rsidTr="008E7D8E">
        <w:trPr>
          <w:gridAfter w:val="1"/>
          <w:wAfter w:w="40" w:type="dxa"/>
          <w:trHeight w:val="255"/>
        </w:trPr>
        <w:tc>
          <w:tcPr>
            <w:tcW w:w="12392" w:type="dxa"/>
            <w:gridSpan w:val="19"/>
            <w:tcBorders>
              <w:top w:val="nil"/>
              <w:left w:val="nil"/>
              <w:bottom w:val="nil"/>
              <w:right w:val="nil"/>
            </w:tcBorders>
            <w:noWrap/>
            <w:vAlign w:val="center"/>
          </w:tcPr>
          <w:p w:rsidR="00AC2B25" w:rsidRPr="0043761D" w:rsidRDefault="00AC2B25" w:rsidP="008E7D8E">
            <w:pPr>
              <w:widowControl/>
              <w:ind w:left="360"/>
              <w:jc w:val="center"/>
              <w:rPr>
                <w:rFonts w:ascii="Times New Roman" w:hAnsi="Times New Roman" w:cs="Times New Roman"/>
                <w:b/>
                <w:bCs/>
                <w:color w:val="auto"/>
                <w:sz w:val="28"/>
                <w:szCs w:val="28"/>
              </w:rPr>
            </w:pPr>
            <w:r w:rsidRPr="0043761D">
              <w:rPr>
                <w:rFonts w:ascii="Times New Roman" w:hAnsi="Times New Roman" w:cs="Times New Roman"/>
                <w:b/>
                <w:bCs/>
                <w:color w:val="auto"/>
                <w:sz w:val="28"/>
                <w:szCs w:val="28"/>
              </w:rPr>
              <w:t>Calculation of reserves for 2012</w:t>
            </w:r>
          </w:p>
        </w:tc>
        <w:tc>
          <w:tcPr>
            <w:tcW w:w="1276" w:type="dxa"/>
            <w:gridSpan w:val="2"/>
            <w:tcBorders>
              <w:top w:val="nil"/>
              <w:left w:val="nil"/>
              <w:bottom w:val="nil"/>
              <w:right w:val="nil"/>
            </w:tcBorders>
            <w:noWrap/>
            <w:vAlign w:val="bottom"/>
          </w:tcPr>
          <w:p w:rsidR="00AC2B25" w:rsidRPr="0043761D" w:rsidRDefault="00AC2B25" w:rsidP="008E7D8E">
            <w:pPr>
              <w:widowControl/>
              <w:rPr>
                <w:rFonts w:ascii="Times New Roman" w:hAnsi="Times New Roman" w:cs="Times New Roman"/>
                <w:color w:val="auto"/>
                <w:sz w:val="28"/>
                <w:szCs w:val="28"/>
              </w:rPr>
            </w:pPr>
          </w:p>
        </w:tc>
        <w:tc>
          <w:tcPr>
            <w:tcW w:w="1276" w:type="dxa"/>
            <w:gridSpan w:val="2"/>
            <w:tcBorders>
              <w:top w:val="nil"/>
              <w:left w:val="nil"/>
              <w:bottom w:val="nil"/>
              <w:right w:val="nil"/>
            </w:tcBorders>
          </w:tcPr>
          <w:p w:rsidR="00AC2B25" w:rsidRPr="0043761D" w:rsidRDefault="00AC2B25" w:rsidP="008E7D8E">
            <w:pPr>
              <w:widowControl/>
              <w:rPr>
                <w:rFonts w:ascii="Times New Roman" w:hAnsi="Times New Roman" w:cs="Times New Roman"/>
                <w:color w:val="auto"/>
                <w:sz w:val="28"/>
                <w:szCs w:val="28"/>
              </w:rPr>
            </w:pPr>
          </w:p>
        </w:tc>
      </w:tr>
      <w:tr w:rsidR="00AC2B25" w:rsidRPr="0043761D" w:rsidTr="008E7D8E">
        <w:trPr>
          <w:trHeight w:val="255"/>
        </w:trPr>
        <w:tc>
          <w:tcPr>
            <w:tcW w:w="1820" w:type="dxa"/>
            <w:gridSpan w:val="2"/>
            <w:tcBorders>
              <w:top w:val="nil"/>
              <w:left w:val="nil"/>
              <w:bottom w:val="nil"/>
              <w:right w:val="nil"/>
            </w:tcBorders>
            <w:shd w:val="clear" w:color="000000" w:fill="FFFFFF"/>
          </w:tcPr>
          <w:p w:rsidR="00AC2B25" w:rsidRPr="0043761D" w:rsidRDefault="00AC2B25" w:rsidP="008E7D8E">
            <w:pPr>
              <w:widowControl/>
              <w:rPr>
                <w:rFonts w:ascii="Times New Roman" w:hAnsi="Times New Roman" w:cs="Times New Roman"/>
                <w:b/>
                <w:bCs/>
                <w:color w:val="FF0000"/>
                <w:sz w:val="28"/>
                <w:szCs w:val="28"/>
              </w:rPr>
            </w:pPr>
            <w:r w:rsidRPr="0043761D">
              <w:rPr>
                <w:rFonts w:ascii="Times New Roman" w:hAnsi="Times New Roman" w:cs="Times New Roman"/>
                <w:b/>
                <w:bCs/>
                <w:color w:val="FF0000"/>
                <w:sz w:val="28"/>
                <w:szCs w:val="28"/>
              </w:rPr>
              <w:t> </w:t>
            </w:r>
          </w:p>
        </w:tc>
        <w:tc>
          <w:tcPr>
            <w:tcW w:w="1582" w:type="dxa"/>
            <w:gridSpan w:val="2"/>
            <w:tcBorders>
              <w:top w:val="nil"/>
              <w:left w:val="nil"/>
              <w:bottom w:val="nil"/>
              <w:right w:val="nil"/>
            </w:tcBorders>
            <w:shd w:val="clear" w:color="000000" w:fill="FFFFFF"/>
            <w:noWrap/>
            <w:vAlign w:val="bottom"/>
          </w:tcPr>
          <w:p w:rsidR="00AC2B25" w:rsidRPr="0043761D" w:rsidRDefault="00AC2B25" w:rsidP="008E7D8E">
            <w:pPr>
              <w:widowControl/>
              <w:jc w:val="right"/>
              <w:rPr>
                <w:rFonts w:ascii="Times New Roman" w:hAnsi="Times New Roman" w:cs="Times New Roman"/>
                <w:color w:val="FF0000"/>
                <w:sz w:val="28"/>
                <w:szCs w:val="28"/>
              </w:rPr>
            </w:pPr>
            <w:r w:rsidRPr="0043761D">
              <w:rPr>
                <w:rFonts w:ascii="Times New Roman" w:hAnsi="Times New Roman" w:cs="Times New Roman"/>
                <w:color w:val="FF0000"/>
                <w:sz w:val="28"/>
                <w:szCs w:val="28"/>
              </w:rPr>
              <w:t> </w:t>
            </w:r>
          </w:p>
        </w:tc>
        <w:tc>
          <w:tcPr>
            <w:tcW w:w="893" w:type="dxa"/>
            <w:tcBorders>
              <w:top w:val="nil"/>
              <w:left w:val="nil"/>
              <w:bottom w:val="nil"/>
              <w:right w:val="nil"/>
            </w:tcBorders>
            <w:shd w:val="clear" w:color="000000" w:fill="FFFFFF"/>
            <w:noWrap/>
            <w:vAlign w:val="bottom"/>
          </w:tcPr>
          <w:p w:rsidR="00AC2B25" w:rsidRPr="0043761D" w:rsidRDefault="00AC2B25" w:rsidP="008E7D8E">
            <w:pPr>
              <w:widowControl/>
              <w:jc w:val="right"/>
              <w:rPr>
                <w:rFonts w:ascii="Times New Roman" w:hAnsi="Times New Roman" w:cs="Times New Roman"/>
                <w:color w:val="FF0000"/>
                <w:sz w:val="28"/>
                <w:szCs w:val="28"/>
              </w:rPr>
            </w:pPr>
            <w:r w:rsidRPr="0043761D">
              <w:rPr>
                <w:rFonts w:ascii="Times New Roman" w:hAnsi="Times New Roman" w:cs="Times New Roman"/>
                <w:color w:val="FF0000"/>
                <w:sz w:val="28"/>
                <w:szCs w:val="28"/>
              </w:rPr>
              <w:t> </w:t>
            </w:r>
          </w:p>
        </w:tc>
        <w:tc>
          <w:tcPr>
            <w:tcW w:w="1161" w:type="dxa"/>
            <w:gridSpan w:val="2"/>
            <w:tcBorders>
              <w:top w:val="nil"/>
              <w:left w:val="nil"/>
              <w:bottom w:val="nil"/>
              <w:right w:val="nil"/>
            </w:tcBorders>
            <w:shd w:val="clear" w:color="000000" w:fill="FFFFFF"/>
            <w:noWrap/>
            <w:vAlign w:val="bottom"/>
          </w:tcPr>
          <w:p w:rsidR="00AC2B25" w:rsidRPr="0043761D" w:rsidRDefault="00AC2B25" w:rsidP="008E7D8E">
            <w:pPr>
              <w:widowControl/>
              <w:jc w:val="right"/>
              <w:rPr>
                <w:rFonts w:ascii="Times New Roman" w:hAnsi="Times New Roman" w:cs="Times New Roman"/>
                <w:b/>
                <w:bCs/>
                <w:color w:val="auto"/>
                <w:sz w:val="28"/>
                <w:szCs w:val="28"/>
              </w:rPr>
            </w:pPr>
            <w:r w:rsidRPr="0043761D">
              <w:rPr>
                <w:rFonts w:ascii="Times New Roman" w:hAnsi="Times New Roman" w:cs="Times New Roman"/>
                <w:b/>
                <w:bCs/>
                <w:color w:val="auto"/>
                <w:sz w:val="28"/>
                <w:szCs w:val="28"/>
              </w:rPr>
              <w:t> </w:t>
            </w:r>
          </w:p>
        </w:tc>
        <w:tc>
          <w:tcPr>
            <w:tcW w:w="1207" w:type="dxa"/>
            <w:gridSpan w:val="2"/>
            <w:tcBorders>
              <w:top w:val="nil"/>
              <w:left w:val="nil"/>
              <w:bottom w:val="nil"/>
              <w:right w:val="nil"/>
            </w:tcBorders>
            <w:shd w:val="clear" w:color="000000" w:fill="FFFFFF"/>
          </w:tcPr>
          <w:p w:rsidR="00AC2B25" w:rsidRPr="0043761D" w:rsidRDefault="00AC2B25" w:rsidP="008E7D8E">
            <w:pPr>
              <w:widowControl/>
              <w:rPr>
                <w:rFonts w:ascii="Times New Roman" w:hAnsi="Times New Roman" w:cs="Times New Roman"/>
                <w:b/>
                <w:bCs/>
                <w:color w:val="auto"/>
                <w:sz w:val="28"/>
                <w:szCs w:val="28"/>
              </w:rPr>
            </w:pPr>
            <w:r w:rsidRPr="0043761D">
              <w:rPr>
                <w:rFonts w:ascii="Times New Roman" w:hAnsi="Times New Roman" w:cs="Times New Roman"/>
                <w:b/>
                <w:bCs/>
                <w:color w:val="auto"/>
                <w:sz w:val="28"/>
                <w:szCs w:val="28"/>
              </w:rPr>
              <w:t> </w:t>
            </w:r>
          </w:p>
        </w:tc>
        <w:tc>
          <w:tcPr>
            <w:tcW w:w="962" w:type="dxa"/>
            <w:tcBorders>
              <w:top w:val="nil"/>
              <w:left w:val="nil"/>
              <w:bottom w:val="nil"/>
              <w:right w:val="nil"/>
            </w:tcBorders>
            <w:shd w:val="clear" w:color="000000" w:fill="FFFFFF"/>
            <w:noWrap/>
            <w:vAlign w:val="bottom"/>
          </w:tcPr>
          <w:p w:rsidR="00AC2B25" w:rsidRPr="0043761D" w:rsidRDefault="00AC2B25" w:rsidP="008E7D8E">
            <w:pPr>
              <w:widowControl/>
              <w:jc w:val="right"/>
              <w:rPr>
                <w:rFonts w:ascii="Times New Roman" w:hAnsi="Times New Roman" w:cs="Times New Roman"/>
                <w:color w:val="auto"/>
                <w:sz w:val="28"/>
                <w:szCs w:val="28"/>
              </w:rPr>
            </w:pPr>
            <w:r w:rsidRPr="0043761D">
              <w:rPr>
                <w:rFonts w:ascii="Times New Roman" w:hAnsi="Times New Roman" w:cs="Times New Roman"/>
                <w:color w:val="auto"/>
                <w:sz w:val="28"/>
                <w:szCs w:val="28"/>
              </w:rPr>
              <w:t> </w:t>
            </w:r>
          </w:p>
        </w:tc>
        <w:tc>
          <w:tcPr>
            <w:tcW w:w="1050" w:type="dxa"/>
            <w:gridSpan w:val="2"/>
            <w:tcBorders>
              <w:top w:val="nil"/>
              <w:left w:val="nil"/>
              <w:bottom w:val="nil"/>
              <w:right w:val="nil"/>
            </w:tcBorders>
            <w:shd w:val="clear" w:color="000000" w:fill="FFFFFF"/>
            <w:noWrap/>
            <w:vAlign w:val="bottom"/>
          </w:tcPr>
          <w:p w:rsidR="00AC2B25" w:rsidRPr="0043761D" w:rsidRDefault="00AC2B25" w:rsidP="008E7D8E">
            <w:pPr>
              <w:widowControl/>
              <w:jc w:val="right"/>
              <w:rPr>
                <w:rFonts w:ascii="Times New Roman" w:hAnsi="Times New Roman" w:cs="Times New Roman"/>
                <w:color w:val="auto"/>
                <w:sz w:val="28"/>
                <w:szCs w:val="28"/>
              </w:rPr>
            </w:pPr>
            <w:r w:rsidRPr="0043761D">
              <w:rPr>
                <w:rFonts w:ascii="Times New Roman" w:hAnsi="Times New Roman" w:cs="Times New Roman"/>
                <w:color w:val="auto"/>
                <w:sz w:val="28"/>
                <w:szCs w:val="28"/>
              </w:rPr>
              <w:t> </w:t>
            </w:r>
          </w:p>
        </w:tc>
        <w:tc>
          <w:tcPr>
            <w:tcW w:w="1132" w:type="dxa"/>
            <w:gridSpan w:val="2"/>
            <w:tcBorders>
              <w:top w:val="nil"/>
              <w:left w:val="nil"/>
              <w:bottom w:val="nil"/>
              <w:right w:val="nil"/>
            </w:tcBorders>
            <w:shd w:val="clear" w:color="000000" w:fill="FFFFFF"/>
            <w:noWrap/>
            <w:vAlign w:val="bottom"/>
          </w:tcPr>
          <w:p w:rsidR="00AC2B25" w:rsidRPr="0043761D" w:rsidRDefault="00AC2B25" w:rsidP="008E7D8E">
            <w:pPr>
              <w:widowControl/>
              <w:jc w:val="right"/>
              <w:rPr>
                <w:rFonts w:ascii="Times New Roman" w:hAnsi="Times New Roman" w:cs="Times New Roman"/>
                <w:b/>
                <w:bCs/>
                <w:color w:val="auto"/>
                <w:sz w:val="28"/>
                <w:szCs w:val="28"/>
              </w:rPr>
            </w:pPr>
            <w:r w:rsidRPr="0043761D">
              <w:rPr>
                <w:rFonts w:ascii="Times New Roman" w:hAnsi="Times New Roman" w:cs="Times New Roman"/>
                <w:b/>
                <w:bCs/>
                <w:color w:val="auto"/>
                <w:sz w:val="28"/>
                <w:szCs w:val="28"/>
              </w:rPr>
              <w:t> </w:t>
            </w:r>
          </w:p>
        </w:tc>
        <w:tc>
          <w:tcPr>
            <w:tcW w:w="357" w:type="dxa"/>
            <w:gridSpan w:val="2"/>
            <w:tcBorders>
              <w:top w:val="nil"/>
              <w:left w:val="nil"/>
              <w:bottom w:val="nil"/>
              <w:right w:val="nil"/>
            </w:tcBorders>
            <w:shd w:val="clear" w:color="000000" w:fill="FFFFFF"/>
            <w:noWrap/>
            <w:vAlign w:val="bottom"/>
          </w:tcPr>
          <w:p w:rsidR="00AC2B25" w:rsidRPr="0043761D" w:rsidRDefault="00AC2B25" w:rsidP="008E7D8E">
            <w:pPr>
              <w:widowControl/>
              <w:rPr>
                <w:rFonts w:ascii="Times New Roman" w:hAnsi="Times New Roman" w:cs="Times New Roman"/>
                <w:color w:val="auto"/>
                <w:sz w:val="28"/>
                <w:szCs w:val="28"/>
              </w:rPr>
            </w:pPr>
            <w:r w:rsidRPr="0043761D">
              <w:rPr>
                <w:rFonts w:ascii="Times New Roman" w:hAnsi="Times New Roman" w:cs="Times New Roman"/>
                <w:color w:val="auto"/>
                <w:sz w:val="28"/>
                <w:szCs w:val="28"/>
              </w:rPr>
              <w:t> </w:t>
            </w:r>
          </w:p>
        </w:tc>
        <w:tc>
          <w:tcPr>
            <w:tcW w:w="1276" w:type="dxa"/>
            <w:gridSpan w:val="2"/>
            <w:tcBorders>
              <w:top w:val="nil"/>
              <w:left w:val="nil"/>
              <w:bottom w:val="nil"/>
              <w:right w:val="nil"/>
            </w:tcBorders>
            <w:shd w:val="clear" w:color="000000" w:fill="FFFFFF"/>
            <w:noWrap/>
            <w:vAlign w:val="bottom"/>
          </w:tcPr>
          <w:p w:rsidR="00AC2B25" w:rsidRPr="0043761D" w:rsidRDefault="00AC2B25" w:rsidP="008E7D8E">
            <w:pPr>
              <w:widowControl/>
              <w:rPr>
                <w:rFonts w:ascii="Times New Roman" w:hAnsi="Times New Roman" w:cs="Times New Roman"/>
                <w:color w:val="auto"/>
                <w:sz w:val="28"/>
                <w:szCs w:val="28"/>
              </w:rPr>
            </w:pPr>
            <w:r w:rsidRPr="0043761D">
              <w:rPr>
                <w:rFonts w:ascii="Times New Roman" w:hAnsi="Times New Roman" w:cs="Times New Roman"/>
                <w:color w:val="auto"/>
                <w:sz w:val="28"/>
                <w:szCs w:val="28"/>
              </w:rPr>
              <w:t> </w:t>
            </w:r>
          </w:p>
        </w:tc>
        <w:tc>
          <w:tcPr>
            <w:tcW w:w="992" w:type="dxa"/>
            <w:gridSpan w:val="2"/>
            <w:tcBorders>
              <w:top w:val="nil"/>
              <w:left w:val="nil"/>
              <w:bottom w:val="nil"/>
              <w:right w:val="nil"/>
            </w:tcBorders>
            <w:shd w:val="clear" w:color="000000" w:fill="FFFFFF"/>
            <w:noWrap/>
            <w:vAlign w:val="bottom"/>
          </w:tcPr>
          <w:p w:rsidR="00AC2B25" w:rsidRPr="0043761D" w:rsidRDefault="00AC2B25" w:rsidP="008E7D8E">
            <w:pPr>
              <w:widowControl/>
              <w:rPr>
                <w:rFonts w:ascii="Times New Roman" w:hAnsi="Times New Roman" w:cs="Times New Roman"/>
                <w:color w:val="auto"/>
                <w:sz w:val="28"/>
                <w:szCs w:val="28"/>
              </w:rPr>
            </w:pPr>
            <w:r w:rsidRPr="0043761D">
              <w:rPr>
                <w:rFonts w:ascii="Times New Roman" w:hAnsi="Times New Roman" w:cs="Times New Roman"/>
                <w:color w:val="auto"/>
                <w:sz w:val="28"/>
                <w:szCs w:val="28"/>
              </w:rPr>
              <w:t> </w:t>
            </w:r>
          </w:p>
        </w:tc>
        <w:tc>
          <w:tcPr>
            <w:tcW w:w="1276" w:type="dxa"/>
            <w:gridSpan w:val="2"/>
            <w:tcBorders>
              <w:top w:val="nil"/>
              <w:left w:val="nil"/>
              <w:bottom w:val="nil"/>
              <w:right w:val="nil"/>
            </w:tcBorders>
            <w:shd w:val="clear" w:color="000000" w:fill="FFFFFF"/>
          </w:tcPr>
          <w:p w:rsidR="00AC2B25" w:rsidRPr="0043761D" w:rsidRDefault="00AC2B25" w:rsidP="008E7D8E">
            <w:pPr>
              <w:widowControl/>
              <w:jc w:val="right"/>
              <w:rPr>
                <w:rFonts w:ascii="Times New Roman" w:hAnsi="Times New Roman" w:cs="Times New Roman"/>
                <w:color w:val="auto"/>
                <w:sz w:val="28"/>
                <w:szCs w:val="28"/>
              </w:rPr>
            </w:pPr>
          </w:p>
        </w:tc>
        <w:tc>
          <w:tcPr>
            <w:tcW w:w="1276" w:type="dxa"/>
            <w:gridSpan w:val="2"/>
            <w:tcBorders>
              <w:top w:val="nil"/>
              <w:left w:val="nil"/>
              <w:bottom w:val="nil"/>
              <w:right w:val="nil"/>
            </w:tcBorders>
            <w:shd w:val="clear" w:color="000000" w:fill="FFFFFF"/>
            <w:noWrap/>
            <w:vAlign w:val="bottom"/>
          </w:tcPr>
          <w:p w:rsidR="00AC2B25" w:rsidRPr="0043761D" w:rsidRDefault="00AC2B25" w:rsidP="008E7D8E">
            <w:pPr>
              <w:widowControl/>
              <w:jc w:val="right"/>
              <w:rPr>
                <w:rFonts w:ascii="Times New Roman" w:hAnsi="Times New Roman" w:cs="Times New Roman"/>
                <w:color w:val="auto"/>
                <w:sz w:val="28"/>
                <w:szCs w:val="28"/>
              </w:rPr>
            </w:pPr>
            <w:r w:rsidRPr="0043761D">
              <w:rPr>
                <w:rFonts w:ascii="Times New Roman" w:hAnsi="Times New Roman" w:cs="Times New Roman"/>
                <w:color w:val="auto"/>
                <w:sz w:val="28"/>
                <w:szCs w:val="28"/>
              </w:rPr>
              <w:t> </w:t>
            </w:r>
          </w:p>
        </w:tc>
      </w:tr>
      <w:tr w:rsidR="00AC2B25" w:rsidRPr="0043761D" w:rsidTr="008E7D8E">
        <w:trPr>
          <w:trHeight w:val="255"/>
        </w:trPr>
        <w:tc>
          <w:tcPr>
            <w:tcW w:w="6663" w:type="dxa"/>
            <w:gridSpan w:val="9"/>
            <w:tcBorders>
              <w:top w:val="nil"/>
              <w:left w:val="nil"/>
              <w:bottom w:val="nil"/>
              <w:right w:val="nil"/>
            </w:tcBorders>
            <w:noWrap/>
            <w:vAlign w:val="bottom"/>
          </w:tcPr>
          <w:p w:rsidR="00AC2B25" w:rsidRPr="0043761D" w:rsidRDefault="00AC2B25" w:rsidP="008E7D8E">
            <w:pPr>
              <w:widowControl/>
              <w:rPr>
                <w:rFonts w:ascii="Times New Roman" w:hAnsi="Times New Roman" w:cs="Times New Roman"/>
                <w:bCs/>
                <w:color w:val="auto"/>
                <w:sz w:val="20"/>
                <w:szCs w:val="20"/>
              </w:rPr>
            </w:pPr>
            <w:r w:rsidRPr="0043761D">
              <w:rPr>
                <w:rFonts w:ascii="Times New Roman" w:hAnsi="Times New Roman" w:cs="Times New Roman"/>
                <w:bCs/>
                <w:color w:val="auto"/>
                <w:sz w:val="20"/>
                <w:szCs w:val="20"/>
              </w:rPr>
              <w:t>Crop and livestock production, hunting and service provision</w:t>
            </w:r>
          </w:p>
        </w:tc>
        <w:tc>
          <w:tcPr>
            <w:tcW w:w="962" w:type="dxa"/>
            <w:tcBorders>
              <w:top w:val="nil"/>
              <w:left w:val="nil"/>
              <w:bottom w:val="nil"/>
              <w:right w:val="nil"/>
            </w:tcBorders>
            <w:noWrap/>
            <w:vAlign w:val="bottom"/>
          </w:tcPr>
          <w:p w:rsidR="00AC2B25" w:rsidRPr="0043761D" w:rsidRDefault="00AC2B25" w:rsidP="008E7D8E">
            <w:pPr>
              <w:widowControl/>
              <w:rPr>
                <w:rFonts w:ascii="Times New Roman" w:hAnsi="Times New Roman" w:cs="Times New Roman"/>
                <w:color w:val="auto"/>
                <w:sz w:val="20"/>
                <w:szCs w:val="20"/>
              </w:rPr>
            </w:pPr>
          </w:p>
        </w:tc>
        <w:tc>
          <w:tcPr>
            <w:tcW w:w="1050" w:type="dxa"/>
            <w:gridSpan w:val="2"/>
            <w:tcBorders>
              <w:top w:val="nil"/>
              <w:left w:val="nil"/>
              <w:bottom w:val="nil"/>
              <w:right w:val="nil"/>
            </w:tcBorders>
            <w:noWrap/>
            <w:vAlign w:val="bottom"/>
          </w:tcPr>
          <w:p w:rsidR="00AC2B25" w:rsidRPr="0043761D" w:rsidRDefault="00AC2B25" w:rsidP="008E7D8E">
            <w:pPr>
              <w:widowControl/>
              <w:rPr>
                <w:rFonts w:ascii="Times New Roman" w:hAnsi="Times New Roman" w:cs="Times New Roman"/>
                <w:color w:val="auto"/>
                <w:sz w:val="20"/>
                <w:szCs w:val="20"/>
              </w:rPr>
            </w:pPr>
          </w:p>
        </w:tc>
        <w:tc>
          <w:tcPr>
            <w:tcW w:w="1132" w:type="dxa"/>
            <w:gridSpan w:val="2"/>
            <w:tcBorders>
              <w:top w:val="nil"/>
              <w:left w:val="nil"/>
              <w:bottom w:val="nil"/>
              <w:right w:val="nil"/>
            </w:tcBorders>
            <w:noWrap/>
            <w:vAlign w:val="bottom"/>
          </w:tcPr>
          <w:p w:rsidR="00AC2B25" w:rsidRPr="0043761D" w:rsidRDefault="00AC2B25" w:rsidP="008E7D8E">
            <w:pPr>
              <w:widowControl/>
              <w:rPr>
                <w:rFonts w:ascii="Times New Roman" w:hAnsi="Times New Roman" w:cs="Times New Roman"/>
                <w:color w:val="auto"/>
                <w:sz w:val="20"/>
                <w:szCs w:val="20"/>
              </w:rPr>
            </w:pPr>
          </w:p>
        </w:tc>
        <w:tc>
          <w:tcPr>
            <w:tcW w:w="357" w:type="dxa"/>
            <w:gridSpan w:val="2"/>
            <w:tcBorders>
              <w:top w:val="nil"/>
              <w:left w:val="nil"/>
              <w:bottom w:val="nil"/>
              <w:right w:val="nil"/>
            </w:tcBorders>
            <w:noWrap/>
            <w:vAlign w:val="bottom"/>
          </w:tcPr>
          <w:p w:rsidR="00AC2B25" w:rsidRPr="0043761D" w:rsidRDefault="00AC2B25" w:rsidP="008E7D8E">
            <w:pPr>
              <w:widowControl/>
              <w:rPr>
                <w:rFonts w:ascii="Times New Roman" w:hAnsi="Times New Roman" w:cs="Times New Roman"/>
                <w:color w:val="auto"/>
                <w:sz w:val="20"/>
                <w:szCs w:val="20"/>
              </w:rPr>
            </w:pPr>
          </w:p>
        </w:tc>
        <w:tc>
          <w:tcPr>
            <w:tcW w:w="1276" w:type="dxa"/>
            <w:gridSpan w:val="2"/>
            <w:tcBorders>
              <w:top w:val="nil"/>
              <w:left w:val="nil"/>
              <w:bottom w:val="nil"/>
              <w:right w:val="nil"/>
            </w:tcBorders>
            <w:noWrap/>
            <w:vAlign w:val="bottom"/>
          </w:tcPr>
          <w:p w:rsidR="00AC2B25" w:rsidRPr="0043761D" w:rsidRDefault="00AC2B25" w:rsidP="008E7D8E">
            <w:pPr>
              <w:widowControl/>
              <w:rPr>
                <w:rFonts w:ascii="Times New Roman" w:hAnsi="Times New Roman" w:cs="Times New Roman"/>
                <w:color w:val="auto"/>
                <w:sz w:val="20"/>
                <w:szCs w:val="20"/>
              </w:rPr>
            </w:pPr>
          </w:p>
        </w:tc>
        <w:tc>
          <w:tcPr>
            <w:tcW w:w="992" w:type="dxa"/>
            <w:gridSpan w:val="2"/>
            <w:tcBorders>
              <w:top w:val="nil"/>
              <w:left w:val="nil"/>
              <w:bottom w:val="nil"/>
              <w:right w:val="nil"/>
            </w:tcBorders>
            <w:noWrap/>
            <w:vAlign w:val="bottom"/>
          </w:tcPr>
          <w:p w:rsidR="00AC2B25" w:rsidRPr="0043761D" w:rsidRDefault="00AC2B25" w:rsidP="008E7D8E">
            <w:pPr>
              <w:widowControl/>
              <w:rPr>
                <w:rFonts w:ascii="Times New Roman" w:hAnsi="Times New Roman" w:cs="Times New Roman"/>
                <w:color w:val="auto"/>
                <w:sz w:val="20"/>
                <w:szCs w:val="20"/>
              </w:rPr>
            </w:pPr>
          </w:p>
        </w:tc>
        <w:tc>
          <w:tcPr>
            <w:tcW w:w="1276" w:type="dxa"/>
            <w:gridSpan w:val="2"/>
            <w:tcBorders>
              <w:top w:val="nil"/>
              <w:left w:val="nil"/>
              <w:bottom w:val="nil"/>
              <w:right w:val="nil"/>
            </w:tcBorders>
          </w:tcPr>
          <w:p w:rsidR="00AC2B25" w:rsidRPr="0043761D" w:rsidRDefault="00AC2B25" w:rsidP="008E7D8E">
            <w:pPr>
              <w:widowControl/>
              <w:rPr>
                <w:rFonts w:ascii="Times New Roman" w:hAnsi="Times New Roman" w:cs="Times New Roman"/>
                <w:color w:val="auto"/>
                <w:sz w:val="20"/>
                <w:szCs w:val="20"/>
              </w:rPr>
            </w:pPr>
          </w:p>
        </w:tc>
        <w:tc>
          <w:tcPr>
            <w:tcW w:w="1276" w:type="dxa"/>
            <w:gridSpan w:val="2"/>
            <w:tcBorders>
              <w:top w:val="nil"/>
              <w:left w:val="nil"/>
              <w:bottom w:val="nil"/>
              <w:right w:val="nil"/>
            </w:tcBorders>
            <w:noWrap/>
            <w:vAlign w:val="bottom"/>
          </w:tcPr>
          <w:p w:rsidR="00AC2B25" w:rsidRPr="0043761D" w:rsidRDefault="00AC2B25" w:rsidP="008E7D8E">
            <w:pPr>
              <w:widowControl/>
              <w:rPr>
                <w:rFonts w:ascii="Times New Roman" w:hAnsi="Times New Roman" w:cs="Times New Roman"/>
                <w:color w:val="auto"/>
                <w:sz w:val="20"/>
                <w:szCs w:val="20"/>
              </w:rPr>
            </w:pPr>
          </w:p>
        </w:tc>
      </w:tr>
      <w:tr w:rsidR="00AC2B25" w:rsidRPr="0043761D" w:rsidTr="008E7D8E">
        <w:trPr>
          <w:gridAfter w:val="1"/>
          <w:wAfter w:w="40" w:type="dxa"/>
          <w:trHeight w:val="810"/>
        </w:trPr>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Period</w:t>
            </w:r>
          </w:p>
        </w:tc>
        <w:tc>
          <w:tcPr>
            <w:tcW w:w="3484" w:type="dxa"/>
            <w:gridSpan w:val="5"/>
            <w:vMerge w:val="restart"/>
            <w:tcBorders>
              <w:top w:val="single" w:sz="4" w:space="0" w:color="auto"/>
              <w:left w:val="single" w:sz="4" w:space="0" w:color="auto"/>
              <w:bottom w:val="single" w:sz="4" w:space="0" w:color="000000"/>
              <w:right w:val="single" w:sz="4" w:space="0" w:color="000000"/>
            </w:tcBorders>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Inventory value according to accounting reports, according to enterprises</w:t>
            </w:r>
          </w:p>
        </w:tc>
        <w:tc>
          <w:tcPr>
            <w:tcW w:w="5506" w:type="dxa"/>
            <w:gridSpan w:val="9"/>
            <w:tcBorders>
              <w:top w:val="single" w:sz="4" w:space="0" w:color="auto"/>
              <w:left w:val="nil"/>
              <w:bottom w:val="single" w:sz="4" w:space="0" w:color="auto"/>
              <w:right w:val="single" w:sz="4" w:space="0" w:color="000000"/>
            </w:tcBorders>
            <w:noWrap/>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Price indices for inventory revaluation</w:t>
            </w:r>
          </w:p>
        </w:tc>
        <w:tc>
          <w:tcPr>
            <w:tcW w:w="2268" w:type="dxa"/>
            <w:gridSpan w:val="4"/>
            <w:tcBorders>
              <w:top w:val="single" w:sz="4" w:space="0" w:color="auto"/>
              <w:left w:val="nil"/>
              <w:bottom w:val="single" w:sz="4" w:space="0" w:color="auto"/>
              <w:right w:val="single" w:sz="4" w:space="0" w:color="auto"/>
            </w:tcBorders>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Inventory value at average prices of the reporting period</w:t>
            </w:r>
          </w:p>
        </w:tc>
        <w:tc>
          <w:tcPr>
            <w:tcW w:w="1276" w:type="dxa"/>
            <w:gridSpan w:val="2"/>
            <w:vMerge w:val="restart"/>
            <w:tcBorders>
              <w:top w:val="single" w:sz="4" w:space="0" w:color="auto"/>
              <w:left w:val="single" w:sz="4" w:space="0" w:color="auto"/>
              <w:bottom w:val="single" w:sz="4" w:space="0" w:color="000000"/>
              <w:right w:val="single" w:sz="4" w:space="0" w:color="auto"/>
            </w:tcBorders>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Change in inventory value at average prices of the reporting period</w:t>
            </w:r>
          </w:p>
        </w:tc>
        <w:tc>
          <w:tcPr>
            <w:tcW w:w="1276" w:type="dxa"/>
            <w:gridSpan w:val="2"/>
            <w:vMerge w:val="restart"/>
            <w:tcBorders>
              <w:top w:val="single" w:sz="4" w:space="0" w:color="auto"/>
              <w:left w:val="single" w:sz="4" w:space="0" w:color="auto"/>
              <w:right w:val="single" w:sz="4" w:space="0" w:color="auto"/>
            </w:tcBorders>
          </w:tcPr>
          <w:p w:rsidR="00AC2B25" w:rsidRPr="0043761D" w:rsidRDefault="00AC2B25" w:rsidP="008E7D8E">
            <w:pPr>
              <w:widowControl/>
              <w:jc w:val="center"/>
              <w:rPr>
                <w:rFonts w:ascii="Times New Roman" w:hAnsi="Times New Roman" w:cs="Times New Roman"/>
                <w:color w:val="auto"/>
                <w:sz w:val="20"/>
                <w:szCs w:val="20"/>
              </w:rPr>
            </w:pPr>
          </w:p>
          <w:p w:rsidR="00AC2B25" w:rsidRPr="0043761D" w:rsidRDefault="00AC2B25" w:rsidP="008E7D8E">
            <w:pPr>
              <w:widowControl/>
              <w:jc w:val="center"/>
              <w:rPr>
                <w:rFonts w:ascii="Times New Roman" w:hAnsi="Times New Roman" w:cs="Times New Roman"/>
                <w:color w:val="auto"/>
                <w:sz w:val="20"/>
                <w:szCs w:val="20"/>
              </w:rPr>
            </w:pPr>
          </w:p>
          <w:p w:rsidR="00AC2B25" w:rsidRPr="0043761D" w:rsidRDefault="00AC2B25" w:rsidP="008E7D8E">
            <w:pPr>
              <w:widowControl/>
              <w:jc w:val="center"/>
              <w:rPr>
                <w:rFonts w:ascii="Times New Roman" w:hAnsi="Times New Roman" w:cs="Times New Roman"/>
                <w:color w:val="auto"/>
                <w:sz w:val="20"/>
                <w:szCs w:val="20"/>
              </w:rPr>
            </w:pPr>
          </w:p>
          <w:p w:rsidR="00AC2B25" w:rsidRPr="0043761D" w:rsidRDefault="00AC2B25" w:rsidP="008E7D8E">
            <w:pPr>
              <w:widowControl/>
              <w:jc w:val="center"/>
              <w:rPr>
                <w:rFonts w:ascii="Times New Roman" w:hAnsi="Times New Roman" w:cs="Times New Roman"/>
                <w:color w:val="auto"/>
                <w:sz w:val="20"/>
                <w:szCs w:val="20"/>
              </w:rPr>
            </w:pPr>
          </w:p>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Value adjustment (holding gain)</w:t>
            </w:r>
          </w:p>
        </w:tc>
      </w:tr>
      <w:tr w:rsidR="00AC2B25" w:rsidRPr="0043761D" w:rsidTr="008E7D8E">
        <w:trPr>
          <w:gridAfter w:val="1"/>
          <w:wAfter w:w="40" w:type="dxa"/>
          <w:trHeight w:val="263"/>
        </w:trPr>
        <w:tc>
          <w:tcPr>
            <w:tcW w:w="1134" w:type="dxa"/>
            <w:vMerge/>
            <w:tcBorders>
              <w:top w:val="single" w:sz="4" w:space="0" w:color="auto"/>
              <w:left w:val="single" w:sz="4" w:space="0" w:color="auto"/>
              <w:bottom w:val="single" w:sz="4" w:space="0" w:color="000000"/>
              <w:right w:val="single" w:sz="4" w:space="0" w:color="auto"/>
            </w:tcBorders>
            <w:vAlign w:val="center"/>
          </w:tcPr>
          <w:p w:rsidR="00AC2B25" w:rsidRPr="0043761D" w:rsidRDefault="00AC2B25" w:rsidP="008E7D8E">
            <w:pPr>
              <w:widowControl/>
              <w:rPr>
                <w:rFonts w:ascii="Times New Roman" w:hAnsi="Times New Roman" w:cs="Times New Roman"/>
                <w:color w:val="auto"/>
                <w:sz w:val="20"/>
                <w:szCs w:val="20"/>
              </w:rPr>
            </w:pPr>
          </w:p>
        </w:tc>
        <w:tc>
          <w:tcPr>
            <w:tcW w:w="3484" w:type="dxa"/>
            <w:gridSpan w:val="5"/>
            <w:vMerge/>
            <w:tcBorders>
              <w:top w:val="single" w:sz="4" w:space="0" w:color="auto"/>
              <w:left w:val="single" w:sz="4" w:space="0" w:color="auto"/>
              <w:bottom w:val="single" w:sz="4" w:space="0" w:color="000000"/>
              <w:right w:val="single" w:sz="4" w:space="0" w:color="000000"/>
            </w:tcBorders>
            <w:vAlign w:val="center"/>
          </w:tcPr>
          <w:p w:rsidR="00AC2B25" w:rsidRPr="0043761D" w:rsidRDefault="00AC2B25" w:rsidP="008E7D8E">
            <w:pPr>
              <w:widowControl/>
              <w:rPr>
                <w:rFonts w:ascii="Times New Roman" w:hAnsi="Times New Roman" w:cs="Times New Roman"/>
                <w:color w:val="auto"/>
                <w:sz w:val="20"/>
                <w:szCs w:val="20"/>
              </w:rPr>
            </w:pPr>
          </w:p>
        </w:tc>
        <w:tc>
          <w:tcPr>
            <w:tcW w:w="1134" w:type="dxa"/>
            <w:gridSpan w:val="2"/>
            <w:vMerge w:val="restart"/>
            <w:tcBorders>
              <w:top w:val="nil"/>
              <w:left w:val="single" w:sz="4" w:space="0" w:color="auto"/>
              <w:bottom w:val="single" w:sz="4" w:space="0" w:color="auto"/>
              <w:right w:val="single" w:sz="4" w:space="0" w:color="auto"/>
            </w:tcBorders>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month to the previous month (prices)</w:t>
            </w:r>
          </w:p>
        </w:tc>
        <w:tc>
          <w:tcPr>
            <w:tcW w:w="911" w:type="dxa"/>
            <w:vMerge w:val="restart"/>
            <w:tcBorders>
              <w:top w:val="nil"/>
              <w:left w:val="single" w:sz="4" w:space="0" w:color="auto"/>
              <w:bottom w:val="single" w:sz="4" w:space="0" w:color="auto"/>
              <w:right w:val="single" w:sz="4" w:space="0" w:color="auto"/>
            </w:tcBorders>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linked indices</w:t>
            </w:r>
          </w:p>
        </w:tc>
        <w:tc>
          <w:tcPr>
            <w:tcW w:w="2327" w:type="dxa"/>
            <w:gridSpan w:val="4"/>
            <w:tcBorders>
              <w:top w:val="single" w:sz="4" w:space="0" w:color="auto"/>
              <w:left w:val="nil"/>
              <w:bottom w:val="single" w:sz="4" w:space="0" w:color="auto"/>
              <w:right w:val="single" w:sz="4" w:space="0" w:color="auto"/>
            </w:tcBorders>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average price index for the holding period (2 months)</w:t>
            </w:r>
          </w:p>
        </w:tc>
        <w:tc>
          <w:tcPr>
            <w:tcW w:w="1134" w:type="dxa"/>
            <w:gridSpan w:val="2"/>
            <w:vMerge w:val="restart"/>
            <w:tcBorders>
              <w:top w:val="nil"/>
              <w:left w:val="single" w:sz="4" w:space="0" w:color="auto"/>
              <w:bottom w:val="single" w:sz="4" w:space="0" w:color="auto"/>
              <w:right w:val="single" w:sz="4" w:space="0" w:color="auto"/>
            </w:tcBorders>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average price index for the reporting quarter to the prices of the base period</w:t>
            </w:r>
          </w:p>
        </w:tc>
        <w:tc>
          <w:tcPr>
            <w:tcW w:w="1276" w:type="dxa"/>
            <w:gridSpan w:val="2"/>
            <w:vMerge w:val="restart"/>
            <w:tcBorders>
              <w:top w:val="nil"/>
              <w:left w:val="single" w:sz="4" w:space="0" w:color="auto"/>
              <w:bottom w:val="single" w:sz="4" w:space="0" w:color="auto"/>
              <w:right w:val="single" w:sz="4" w:space="0" w:color="auto"/>
            </w:tcBorders>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at the beginning of the period</w:t>
            </w:r>
          </w:p>
        </w:tc>
        <w:tc>
          <w:tcPr>
            <w:tcW w:w="992" w:type="dxa"/>
            <w:gridSpan w:val="2"/>
            <w:vMerge w:val="restart"/>
            <w:tcBorders>
              <w:top w:val="nil"/>
              <w:left w:val="single" w:sz="4" w:space="0" w:color="auto"/>
              <w:bottom w:val="single" w:sz="4" w:space="0" w:color="auto"/>
              <w:right w:val="single" w:sz="4" w:space="0" w:color="auto"/>
            </w:tcBorders>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at the end of the period</w:t>
            </w: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AC2B25" w:rsidRPr="0043761D" w:rsidRDefault="00AC2B25" w:rsidP="008E7D8E">
            <w:pPr>
              <w:widowControl/>
              <w:rPr>
                <w:rFonts w:ascii="Times New Roman" w:hAnsi="Times New Roman" w:cs="Times New Roman"/>
                <w:color w:val="auto"/>
                <w:sz w:val="20"/>
                <w:szCs w:val="20"/>
              </w:rPr>
            </w:pPr>
          </w:p>
        </w:tc>
        <w:tc>
          <w:tcPr>
            <w:tcW w:w="1276" w:type="dxa"/>
            <w:gridSpan w:val="2"/>
            <w:vMerge/>
            <w:tcBorders>
              <w:left w:val="single" w:sz="4" w:space="0" w:color="auto"/>
              <w:right w:val="single" w:sz="4" w:space="0" w:color="auto"/>
            </w:tcBorders>
          </w:tcPr>
          <w:p w:rsidR="00AC2B25" w:rsidRPr="0043761D" w:rsidRDefault="00AC2B25" w:rsidP="008E7D8E">
            <w:pPr>
              <w:widowControl/>
              <w:rPr>
                <w:rFonts w:ascii="Times New Roman" w:hAnsi="Times New Roman" w:cs="Times New Roman"/>
                <w:color w:val="auto"/>
                <w:sz w:val="20"/>
                <w:szCs w:val="20"/>
              </w:rPr>
            </w:pPr>
          </w:p>
        </w:tc>
      </w:tr>
      <w:tr w:rsidR="00AC2B25" w:rsidRPr="0043761D" w:rsidTr="008E7D8E">
        <w:trPr>
          <w:gridAfter w:val="1"/>
          <w:wAfter w:w="40" w:type="dxa"/>
          <w:trHeight w:val="765"/>
        </w:trPr>
        <w:tc>
          <w:tcPr>
            <w:tcW w:w="1134" w:type="dxa"/>
            <w:vMerge/>
            <w:tcBorders>
              <w:top w:val="single" w:sz="4" w:space="0" w:color="auto"/>
              <w:left w:val="single" w:sz="4" w:space="0" w:color="auto"/>
              <w:bottom w:val="single" w:sz="4" w:space="0" w:color="000000"/>
              <w:right w:val="single" w:sz="4" w:space="0" w:color="auto"/>
            </w:tcBorders>
            <w:vAlign w:val="center"/>
          </w:tcPr>
          <w:p w:rsidR="00AC2B25" w:rsidRPr="0043761D" w:rsidRDefault="00AC2B25" w:rsidP="008E7D8E">
            <w:pPr>
              <w:widowControl/>
              <w:rPr>
                <w:rFonts w:ascii="Times New Roman" w:hAnsi="Times New Roman" w:cs="Times New Roman"/>
                <w:color w:val="auto"/>
                <w:sz w:val="20"/>
                <w:szCs w:val="20"/>
              </w:rPr>
            </w:pPr>
          </w:p>
        </w:tc>
        <w:tc>
          <w:tcPr>
            <w:tcW w:w="1134" w:type="dxa"/>
            <w:gridSpan w:val="2"/>
            <w:tcBorders>
              <w:top w:val="nil"/>
              <w:left w:val="nil"/>
              <w:bottom w:val="single" w:sz="4" w:space="0" w:color="auto"/>
              <w:right w:val="single" w:sz="4" w:space="0" w:color="auto"/>
            </w:tcBorders>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at the beginning of the period</w:t>
            </w:r>
          </w:p>
        </w:tc>
        <w:tc>
          <w:tcPr>
            <w:tcW w:w="1134" w:type="dxa"/>
            <w:tcBorders>
              <w:top w:val="nil"/>
              <w:left w:val="nil"/>
              <w:bottom w:val="single" w:sz="4" w:space="0" w:color="auto"/>
              <w:right w:val="single" w:sz="4" w:space="0" w:color="auto"/>
            </w:tcBorders>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at the end of the period</w:t>
            </w:r>
          </w:p>
        </w:tc>
        <w:tc>
          <w:tcPr>
            <w:tcW w:w="1216" w:type="dxa"/>
            <w:gridSpan w:val="2"/>
            <w:tcBorders>
              <w:top w:val="nil"/>
              <w:left w:val="nil"/>
              <w:bottom w:val="single" w:sz="4" w:space="0" w:color="auto"/>
              <w:right w:val="single" w:sz="4" w:space="0" w:color="auto"/>
            </w:tcBorders>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change in inventory value</w:t>
            </w:r>
          </w:p>
        </w:tc>
        <w:tc>
          <w:tcPr>
            <w:tcW w:w="1134" w:type="dxa"/>
            <w:gridSpan w:val="2"/>
            <w:vMerge/>
            <w:tcBorders>
              <w:top w:val="nil"/>
              <w:left w:val="single" w:sz="4" w:space="0" w:color="auto"/>
              <w:bottom w:val="single" w:sz="4" w:space="0" w:color="auto"/>
              <w:right w:val="single" w:sz="4" w:space="0" w:color="auto"/>
            </w:tcBorders>
            <w:vAlign w:val="center"/>
          </w:tcPr>
          <w:p w:rsidR="00AC2B25" w:rsidRPr="0043761D" w:rsidRDefault="00AC2B25" w:rsidP="008E7D8E">
            <w:pPr>
              <w:widowControl/>
              <w:rPr>
                <w:rFonts w:ascii="Times New Roman" w:hAnsi="Times New Roman" w:cs="Times New Roman"/>
                <w:color w:val="auto"/>
                <w:sz w:val="20"/>
                <w:szCs w:val="20"/>
              </w:rPr>
            </w:pPr>
          </w:p>
        </w:tc>
        <w:tc>
          <w:tcPr>
            <w:tcW w:w="911" w:type="dxa"/>
            <w:vMerge/>
            <w:tcBorders>
              <w:top w:val="nil"/>
              <w:left w:val="single" w:sz="4" w:space="0" w:color="auto"/>
              <w:bottom w:val="single" w:sz="4" w:space="0" w:color="auto"/>
              <w:right w:val="single" w:sz="4" w:space="0" w:color="auto"/>
            </w:tcBorders>
            <w:vAlign w:val="center"/>
          </w:tcPr>
          <w:p w:rsidR="00AC2B25" w:rsidRPr="0043761D" w:rsidRDefault="00AC2B25" w:rsidP="008E7D8E">
            <w:pPr>
              <w:widowControl/>
              <w:rPr>
                <w:rFonts w:ascii="Times New Roman" w:hAnsi="Times New Roman" w:cs="Times New Roman"/>
                <w:color w:val="auto"/>
                <w:sz w:val="20"/>
                <w:szCs w:val="20"/>
              </w:rPr>
            </w:pPr>
          </w:p>
        </w:tc>
        <w:tc>
          <w:tcPr>
            <w:tcW w:w="1193" w:type="dxa"/>
            <w:gridSpan w:val="2"/>
            <w:tcBorders>
              <w:top w:val="nil"/>
              <w:left w:val="nil"/>
              <w:bottom w:val="single" w:sz="4" w:space="0" w:color="auto"/>
              <w:right w:val="single" w:sz="4" w:space="0" w:color="auto"/>
            </w:tcBorders>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at the beginning of the period</w:t>
            </w:r>
          </w:p>
        </w:tc>
        <w:tc>
          <w:tcPr>
            <w:tcW w:w="1134" w:type="dxa"/>
            <w:gridSpan w:val="2"/>
            <w:tcBorders>
              <w:top w:val="nil"/>
              <w:left w:val="nil"/>
              <w:bottom w:val="single" w:sz="4" w:space="0" w:color="auto"/>
              <w:right w:val="single" w:sz="4" w:space="0" w:color="auto"/>
            </w:tcBorders>
            <w:vAlign w:val="center"/>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at the end of the period</w:t>
            </w:r>
          </w:p>
        </w:tc>
        <w:tc>
          <w:tcPr>
            <w:tcW w:w="1134" w:type="dxa"/>
            <w:gridSpan w:val="2"/>
            <w:vMerge/>
            <w:tcBorders>
              <w:top w:val="nil"/>
              <w:left w:val="single" w:sz="4" w:space="0" w:color="auto"/>
              <w:bottom w:val="single" w:sz="4" w:space="0" w:color="auto"/>
              <w:right w:val="single" w:sz="4" w:space="0" w:color="auto"/>
            </w:tcBorders>
            <w:vAlign w:val="center"/>
          </w:tcPr>
          <w:p w:rsidR="00AC2B25" w:rsidRPr="0043761D" w:rsidRDefault="00AC2B25" w:rsidP="008E7D8E">
            <w:pPr>
              <w:widowControl/>
              <w:rPr>
                <w:rFonts w:ascii="Times New Roman" w:hAnsi="Times New Roman" w:cs="Times New Roman"/>
                <w:color w:val="auto"/>
                <w:sz w:val="20"/>
                <w:szCs w:val="20"/>
              </w:rPr>
            </w:pPr>
          </w:p>
        </w:tc>
        <w:tc>
          <w:tcPr>
            <w:tcW w:w="1276" w:type="dxa"/>
            <w:gridSpan w:val="2"/>
            <w:vMerge/>
            <w:tcBorders>
              <w:top w:val="nil"/>
              <w:left w:val="single" w:sz="4" w:space="0" w:color="auto"/>
              <w:bottom w:val="single" w:sz="4" w:space="0" w:color="auto"/>
              <w:right w:val="single" w:sz="4" w:space="0" w:color="auto"/>
            </w:tcBorders>
            <w:vAlign w:val="center"/>
          </w:tcPr>
          <w:p w:rsidR="00AC2B25" w:rsidRPr="0043761D" w:rsidRDefault="00AC2B25" w:rsidP="008E7D8E">
            <w:pPr>
              <w:widowControl/>
              <w:rPr>
                <w:rFonts w:ascii="Times New Roman" w:hAnsi="Times New Roman" w:cs="Times New Roman"/>
                <w:color w:val="auto"/>
                <w:sz w:val="20"/>
                <w:szCs w:val="20"/>
              </w:rPr>
            </w:pPr>
          </w:p>
        </w:tc>
        <w:tc>
          <w:tcPr>
            <w:tcW w:w="992" w:type="dxa"/>
            <w:gridSpan w:val="2"/>
            <w:vMerge/>
            <w:tcBorders>
              <w:top w:val="nil"/>
              <w:left w:val="single" w:sz="4" w:space="0" w:color="auto"/>
              <w:bottom w:val="single" w:sz="4" w:space="0" w:color="auto"/>
              <w:right w:val="single" w:sz="4" w:space="0" w:color="auto"/>
            </w:tcBorders>
            <w:vAlign w:val="center"/>
          </w:tcPr>
          <w:p w:rsidR="00AC2B25" w:rsidRPr="0043761D" w:rsidRDefault="00AC2B25" w:rsidP="008E7D8E">
            <w:pPr>
              <w:widowControl/>
              <w:rPr>
                <w:rFonts w:ascii="Times New Roman" w:hAnsi="Times New Roman" w:cs="Times New Roman"/>
                <w:color w:val="auto"/>
                <w:sz w:val="20"/>
                <w:szCs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tcPr>
          <w:p w:rsidR="00AC2B25" w:rsidRPr="0043761D" w:rsidRDefault="00AC2B25" w:rsidP="008E7D8E">
            <w:pPr>
              <w:widowControl/>
              <w:rPr>
                <w:rFonts w:ascii="Times New Roman" w:hAnsi="Times New Roman" w:cs="Times New Roman"/>
                <w:color w:val="auto"/>
                <w:sz w:val="20"/>
                <w:szCs w:val="20"/>
              </w:rPr>
            </w:pPr>
          </w:p>
        </w:tc>
        <w:tc>
          <w:tcPr>
            <w:tcW w:w="1276" w:type="dxa"/>
            <w:gridSpan w:val="2"/>
            <w:vMerge/>
            <w:tcBorders>
              <w:left w:val="single" w:sz="4" w:space="0" w:color="auto"/>
              <w:bottom w:val="single" w:sz="4" w:space="0" w:color="000000"/>
              <w:right w:val="single" w:sz="4" w:space="0" w:color="auto"/>
            </w:tcBorders>
          </w:tcPr>
          <w:p w:rsidR="00AC2B25" w:rsidRPr="0043761D" w:rsidRDefault="00AC2B25" w:rsidP="008E7D8E">
            <w:pPr>
              <w:widowControl/>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tcBorders>
              <w:top w:val="nil"/>
              <w:left w:val="single" w:sz="4" w:space="0" w:color="auto"/>
              <w:bottom w:val="single" w:sz="4" w:space="0" w:color="auto"/>
              <w:right w:val="single" w:sz="4" w:space="0" w:color="auto"/>
            </w:tcBorders>
            <w:noWrap/>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A</w:t>
            </w:r>
          </w:p>
        </w:tc>
        <w:tc>
          <w:tcPr>
            <w:tcW w:w="1134" w:type="dxa"/>
            <w:gridSpan w:val="2"/>
            <w:tcBorders>
              <w:top w:val="nil"/>
              <w:left w:val="nil"/>
              <w:bottom w:val="single" w:sz="4" w:space="0" w:color="auto"/>
              <w:right w:val="single" w:sz="4" w:space="0" w:color="auto"/>
            </w:tcBorders>
            <w:noWrap/>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1</w:t>
            </w:r>
          </w:p>
        </w:tc>
        <w:tc>
          <w:tcPr>
            <w:tcW w:w="1134" w:type="dxa"/>
            <w:tcBorders>
              <w:top w:val="nil"/>
              <w:left w:val="nil"/>
              <w:bottom w:val="single" w:sz="4" w:space="0" w:color="auto"/>
              <w:right w:val="single" w:sz="4" w:space="0" w:color="auto"/>
            </w:tcBorders>
            <w:noWrap/>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2</w:t>
            </w:r>
          </w:p>
        </w:tc>
        <w:tc>
          <w:tcPr>
            <w:tcW w:w="1216" w:type="dxa"/>
            <w:gridSpan w:val="2"/>
            <w:tcBorders>
              <w:top w:val="nil"/>
              <w:left w:val="nil"/>
              <w:bottom w:val="single" w:sz="4" w:space="0" w:color="auto"/>
              <w:right w:val="single" w:sz="4" w:space="0" w:color="auto"/>
            </w:tcBorders>
            <w:noWrap/>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3=2-1</w:t>
            </w:r>
          </w:p>
        </w:tc>
        <w:tc>
          <w:tcPr>
            <w:tcW w:w="1134" w:type="dxa"/>
            <w:gridSpan w:val="2"/>
            <w:tcBorders>
              <w:top w:val="nil"/>
              <w:left w:val="nil"/>
              <w:bottom w:val="single" w:sz="4" w:space="0" w:color="auto"/>
              <w:right w:val="single" w:sz="4" w:space="0" w:color="auto"/>
            </w:tcBorders>
            <w:noWrap/>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4</w:t>
            </w:r>
          </w:p>
        </w:tc>
        <w:tc>
          <w:tcPr>
            <w:tcW w:w="911" w:type="dxa"/>
            <w:tcBorders>
              <w:top w:val="nil"/>
              <w:left w:val="nil"/>
              <w:bottom w:val="single" w:sz="4" w:space="0" w:color="auto"/>
              <w:right w:val="single" w:sz="4" w:space="0" w:color="auto"/>
            </w:tcBorders>
            <w:noWrap/>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5</w:t>
            </w:r>
          </w:p>
        </w:tc>
        <w:tc>
          <w:tcPr>
            <w:tcW w:w="1193" w:type="dxa"/>
            <w:gridSpan w:val="2"/>
            <w:tcBorders>
              <w:top w:val="nil"/>
              <w:left w:val="nil"/>
              <w:bottom w:val="single" w:sz="4" w:space="0" w:color="auto"/>
              <w:right w:val="single" w:sz="4" w:space="0" w:color="auto"/>
            </w:tcBorders>
            <w:noWrap/>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6</w:t>
            </w:r>
          </w:p>
        </w:tc>
        <w:tc>
          <w:tcPr>
            <w:tcW w:w="1134" w:type="dxa"/>
            <w:gridSpan w:val="2"/>
            <w:tcBorders>
              <w:top w:val="nil"/>
              <w:left w:val="nil"/>
              <w:bottom w:val="single" w:sz="4" w:space="0" w:color="auto"/>
              <w:right w:val="single" w:sz="4" w:space="0" w:color="auto"/>
            </w:tcBorders>
            <w:noWrap/>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7</w:t>
            </w:r>
          </w:p>
        </w:tc>
        <w:tc>
          <w:tcPr>
            <w:tcW w:w="1134" w:type="dxa"/>
            <w:gridSpan w:val="2"/>
            <w:tcBorders>
              <w:top w:val="nil"/>
              <w:left w:val="nil"/>
              <w:bottom w:val="single" w:sz="4" w:space="0" w:color="auto"/>
              <w:right w:val="single" w:sz="4" w:space="0" w:color="auto"/>
            </w:tcBorders>
            <w:noWrap/>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8</w:t>
            </w:r>
          </w:p>
        </w:tc>
        <w:tc>
          <w:tcPr>
            <w:tcW w:w="1276" w:type="dxa"/>
            <w:gridSpan w:val="2"/>
            <w:tcBorders>
              <w:top w:val="nil"/>
              <w:left w:val="nil"/>
              <w:bottom w:val="single" w:sz="4" w:space="0" w:color="auto"/>
              <w:right w:val="single" w:sz="4" w:space="0" w:color="auto"/>
            </w:tcBorders>
            <w:noWrap/>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9</w:t>
            </w:r>
          </w:p>
        </w:tc>
        <w:tc>
          <w:tcPr>
            <w:tcW w:w="992" w:type="dxa"/>
            <w:gridSpan w:val="2"/>
            <w:tcBorders>
              <w:top w:val="nil"/>
              <w:left w:val="nil"/>
              <w:bottom w:val="single" w:sz="4" w:space="0" w:color="auto"/>
              <w:right w:val="single" w:sz="4" w:space="0" w:color="auto"/>
            </w:tcBorders>
            <w:noWrap/>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10</w:t>
            </w:r>
          </w:p>
        </w:tc>
        <w:tc>
          <w:tcPr>
            <w:tcW w:w="1276" w:type="dxa"/>
            <w:gridSpan w:val="2"/>
            <w:tcBorders>
              <w:top w:val="nil"/>
              <w:left w:val="nil"/>
              <w:bottom w:val="single" w:sz="4" w:space="0" w:color="auto"/>
              <w:right w:val="single" w:sz="4" w:space="0" w:color="auto"/>
            </w:tcBorders>
            <w:noWrap/>
            <w:vAlign w:val="bottom"/>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11=10-9</w:t>
            </w:r>
          </w:p>
        </w:tc>
        <w:tc>
          <w:tcPr>
            <w:tcW w:w="1276" w:type="dxa"/>
            <w:gridSpan w:val="2"/>
            <w:tcBorders>
              <w:top w:val="nil"/>
              <w:left w:val="nil"/>
              <w:bottom w:val="single" w:sz="4" w:space="0" w:color="auto"/>
              <w:right w:val="single" w:sz="4" w:space="0" w:color="auto"/>
            </w:tcBorders>
          </w:tcPr>
          <w:p w:rsidR="00AC2B25" w:rsidRPr="0043761D" w:rsidRDefault="00AC2B25" w:rsidP="008E7D8E">
            <w:pPr>
              <w:widowControl/>
              <w:jc w:val="center"/>
              <w:rPr>
                <w:rFonts w:ascii="Times New Roman" w:hAnsi="Times New Roman" w:cs="Times New Roman"/>
                <w:color w:val="auto"/>
                <w:sz w:val="20"/>
                <w:szCs w:val="20"/>
              </w:rPr>
            </w:pPr>
            <w:r w:rsidRPr="0043761D">
              <w:rPr>
                <w:rFonts w:ascii="Times New Roman" w:hAnsi="Times New Roman" w:cs="Times New Roman"/>
                <w:color w:val="auto"/>
                <w:sz w:val="20"/>
                <w:szCs w:val="20"/>
              </w:rPr>
              <w:t>12=3-11</w:t>
            </w:r>
          </w:p>
        </w:tc>
      </w:tr>
      <w:tr w:rsidR="00AC2B25" w:rsidRPr="0043761D" w:rsidTr="008E7D8E">
        <w:trPr>
          <w:gridAfter w:val="1"/>
          <w:wAfter w:w="40" w:type="dxa"/>
          <w:trHeight w:val="255"/>
        </w:trPr>
        <w:tc>
          <w:tcPr>
            <w:tcW w:w="1134" w:type="dxa"/>
            <w:tcBorders>
              <w:top w:val="single" w:sz="4" w:space="0" w:color="auto"/>
            </w:tcBorders>
            <w:vAlign w:val="bottom"/>
          </w:tcPr>
          <w:p w:rsidR="00AC2B25" w:rsidRPr="0043761D" w:rsidRDefault="00AC2B25" w:rsidP="008E7D8E">
            <w:pPr>
              <w:widowControl/>
              <w:rPr>
                <w:rFonts w:ascii="Times New Roman" w:hAnsi="Times New Roman" w:cs="Times New Roman"/>
                <w:color w:val="auto"/>
                <w:sz w:val="20"/>
                <w:szCs w:val="20"/>
              </w:rPr>
            </w:pPr>
            <w:r w:rsidRPr="0043761D">
              <w:rPr>
                <w:rFonts w:ascii="Times New Roman" w:hAnsi="Times New Roman" w:cs="Times New Roman"/>
                <w:color w:val="auto"/>
                <w:sz w:val="20"/>
                <w:szCs w:val="20"/>
              </w:rPr>
              <w:t>november</w:t>
            </w:r>
          </w:p>
        </w:tc>
        <w:tc>
          <w:tcPr>
            <w:tcW w:w="1134" w:type="dxa"/>
            <w:gridSpan w:val="2"/>
            <w:tcBorders>
              <w:top w:val="single" w:sz="4" w:space="0" w:color="auto"/>
            </w:tcBorders>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tcBorders>
              <w:top w:val="single" w:sz="4" w:space="0" w:color="auto"/>
            </w:tcBorders>
            <w:vAlign w:val="bottom"/>
          </w:tcPr>
          <w:p w:rsidR="00AC2B25" w:rsidRPr="0043761D" w:rsidRDefault="00AC2B25" w:rsidP="008E7D8E">
            <w:pPr>
              <w:jc w:val="center"/>
              <w:rPr>
                <w:rFonts w:ascii="Times New Roman" w:hAnsi="Times New Roman" w:cs="Times New Roman"/>
                <w:color w:val="auto"/>
                <w:sz w:val="20"/>
                <w:szCs w:val="20"/>
              </w:rPr>
            </w:pPr>
          </w:p>
        </w:tc>
        <w:tc>
          <w:tcPr>
            <w:tcW w:w="1216" w:type="dxa"/>
            <w:gridSpan w:val="2"/>
            <w:tcBorders>
              <w:top w:val="single" w:sz="4" w:space="0" w:color="auto"/>
            </w:tcBorders>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gridSpan w:val="2"/>
            <w:tcBorders>
              <w:top w:val="single" w:sz="4" w:space="0" w:color="auto"/>
            </w:tcBorders>
            <w:noWrap/>
            <w:vAlign w:val="bottom"/>
          </w:tcPr>
          <w:p w:rsidR="00AC2B25" w:rsidRPr="0043761D" w:rsidRDefault="00AC2B25" w:rsidP="008E7D8E">
            <w:pPr>
              <w:jc w:val="right"/>
              <w:rPr>
                <w:rFonts w:ascii="Times New Roman" w:hAnsi="Times New Roman" w:cs="Times New Roman"/>
                <w:color w:val="auto"/>
                <w:sz w:val="20"/>
                <w:szCs w:val="20"/>
              </w:rPr>
            </w:pPr>
          </w:p>
        </w:tc>
        <w:tc>
          <w:tcPr>
            <w:tcW w:w="911" w:type="dxa"/>
            <w:tcBorders>
              <w:top w:val="single" w:sz="4" w:space="0" w:color="auto"/>
            </w:tcBorders>
            <w:noWrap/>
            <w:vAlign w:val="bottom"/>
          </w:tcPr>
          <w:p w:rsidR="00AC2B25" w:rsidRPr="0043761D" w:rsidRDefault="00AC2B25" w:rsidP="008E7D8E">
            <w:pPr>
              <w:jc w:val="right"/>
              <w:rPr>
                <w:rFonts w:ascii="Times New Roman" w:hAnsi="Times New Roman" w:cs="Times New Roman"/>
                <w:color w:val="auto"/>
                <w:sz w:val="20"/>
                <w:szCs w:val="20"/>
              </w:rPr>
            </w:pPr>
          </w:p>
        </w:tc>
        <w:tc>
          <w:tcPr>
            <w:tcW w:w="1193" w:type="dxa"/>
            <w:gridSpan w:val="2"/>
            <w:tcBorders>
              <w:top w:val="single" w:sz="4" w:space="0" w:color="auto"/>
            </w:tcBorders>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gridSpan w:val="2"/>
            <w:tcBorders>
              <w:top w:val="single" w:sz="4" w:space="0" w:color="auto"/>
            </w:tcBorders>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gridSpan w:val="2"/>
            <w:tcBorders>
              <w:top w:val="single" w:sz="4" w:space="0" w:color="auto"/>
            </w:tcBorders>
            <w:vAlign w:val="bottom"/>
          </w:tcPr>
          <w:p w:rsidR="00AC2B25" w:rsidRPr="0043761D" w:rsidRDefault="00AC2B25" w:rsidP="008E7D8E">
            <w:pPr>
              <w:jc w:val="center"/>
              <w:rPr>
                <w:rFonts w:ascii="Times New Roman" w:hAnsi="Times New Roman" w:cs="Times New Roman"/>
                <w:color w:val="auto"/>
                <w:sz w:val="20"/>
                <w:szCs w:val="20"/>
              </w:rPr>
            </w:pPr>
          </w:p>
        </w:tc>
        <w:tc>
          <w:tcPr>
            <w:tcW w:w="1276" w:type="dxa"/>
            <w:gridSpan w:val="2"/>
            <w:tcBorders>
              <w:top w:val="single" w:sz="4" w:space="0" w:color="auto"/>
            </w:tcBorders>
            <w:vAlign w:val="bottom"/>
          </w:tcPr>
          <w:p w:rsidR="00AC2B25" w:rsidRPr="0043761D" w:rsidRDefault="00AC2B25" w:rsidP="008E7D8E">
            <w:pPr>
              <w:jc w:val="center"/>
              <w:rPr>
                <w:rFonts w:ascii="Times New Roman" w:hAnsi="Times New Roman" w:cs="Times New Roman"/>
                <w:color w:val="auto"/>
                <w:sz w:val="20"/>
                <w:szCs w:val="20"/>
              </w:rPr>
            </w:pPr>
          </w:p>
        </w:tc>
        <w:tc>
          <w:tcPr>
            <w:tcW w:w="992" w:type="dxa"/>
            <w:gridSpan w:val="2"/>
            <w:tcBorders>
              <w:top w:val="single" w:sz="4" w:space="0" w:color="auto"/>
            </w:tcBorders>
            <w:vAlign w:val="bottom"/>
          </w:tcPr>
          <w:p w:rsidR="00AC2B25" w:rsidRPr="0043761D" w:rsidRDefault="00AC2B25" w:rsidP="008E7D8E">
            <w:pPr>
              <w:jc w:val="center"/>
              <w:rPr>
                <w:rFonts w:ascii="Times New Roman" w:hAnsi="Times New Roman" w:cs="Times New Roman"/>
                <w:color w:val="auto"/>
                <w:sz w:val="20"/>
                <w:szCs w:val="20"/>
              </w:rPr>
            </w:pPr>
          </w:p>
        </w:tc>
        <w:tc>
          <w:tcPr>
            <w:tcW w:w="1276" w:type="dxa"/>
            <w:gridSpan w:val="2"/>
            <w:tcBorders>
              <w:top w:val="single" w:sz="4" w:space="0" w:color="auto"/>
            </w:tcBorders>
            <w:noWrap/>
            <w:vAlign w:val="bottom"/>
          </w:tcPr>
          <w:p w:rsidR="00AC2B25" w:rsidRPr="0043761D" w:rsidRDefault="00AC2B25" w:rsidP="008E7D8E">
            <w:pPr>
              <w:jc w:val="right"/>
              <w:rPr>
                <w:rFonts w:ascii="Times New Roman" w:hAnsi="Times New Roman" w:cs="Times New Roman"/>
                <w:color w:val="auto"/>
                <w:sz w:val="20"/>
                <w:szCs w:val="20"/>
              </w:rPr>
            </w:pPr>
          </w:p>
        </w:tc>
        <w:tc>
          <w:tcPr>
            <w:tcW w:w="1276" w:type="dxa"/>
            <w:gridSpan w:val="2"/>
            <w:tcBorders>
              <w:top w:val="single" w:sz="4" w:space="0" w:color="auto"/>
            </w:tcBorders>
          </w:tcPr>
          <w:p w:rsidR="00AC2B25" w:rsidRPr="0043761D" w:rsidRDefault="00AC2B25" w:rsidP="008E7D8E">
            <w:pPr>
              <w:jc w:val="right"/>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vAlign w:val="bottom"/>
          </w:tcPr>
          <w:p w:rsidR="00AC2B25" w:rsidRPr="0043761D" w:rsidRDefault="00AC2B25" w:rsidP="008E7D8E">
            <w:pPr>
              <w:widowControl/>
              <w:rPr>
                <w:rFonts w:ascii="Times New Roman" w:hAnsi="Times New Roman" w:cs="Times New Roman"/>
                <w:color w:val="auto"/>
                <w:sz w:val="20"/>
                <w:szCs w:val="20"/>
              </w:rPr>
            </w:pPr>
            <w:r w:rsidRPr="0043761D">
              <w:rPr>
                <w:rFonts w:ascii="Times New Roman" w:hAnsi="Times New Roman" w:cs="Times New Roman"/>
                <w:color w:val="auto"/>
                <w:sz w:val="20"/>
                <w:szCs w:val="20"/>
              </w:rPr>
              <w:t>p/year</w:t>
            </w:r>
          </w:p>
        </w:tc>
        <w:tc>
          <w:tcPr>
            <w:tcW w:w="1134"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vAlign w:val="bottom"/>
          </w:tcPr>
          <w:p w:rsidR="00AC2B25" w:rsidRPr="0043761D" w:rsidRDefault="00AC2B25" w:rsidP="008E7D8E">
            <w:pPr>
              <w:jc w:val="center"/>
              <w:rPr>
                <w:rFonts w:ascii="Times New Roman" w:hAnsi="Times New Roman" w:cs="Times New Roman"/>
                <w:color w:val="auto"/>
                <w:sz w:val="20"/>
                <w:szCs w:val="20"/>
              </w:rPr>
            </w:pPr>
          </w:p>
        </w:tc>
        <w:tc>
          <w:tcPr>
            <w:tcW w:w="1216"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97.9</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100.7</w:t>
            </w:r>
          </w:p>
        </w:tc>
        <w:tc>
          <w:tcPr>
            <w:tcW w:w="1193"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276"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992"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1276" w:type="dxa"/>
            <w:gridSpan w:val="2"/>
          </w:tcPr>
          <w:p w:rsidR="00AC2B25" w:rsidRPr="0043761D" w:rsidRDefault="00AC2B25" w:rsidP="008E7D8E">
            <w:pPr>
              <w:jc w:val="right"/>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vAlign w:val="bottom"/>
          </w:tcPr>
          <w:p w:rsidR="00AC2B25" w:rsidRPr="0043761D" w:rsidRDefault="00AC2B25" w:rsidP="008E7D8E">
            <w:pPr>
              <w:widowControl/>
              <w:rPr>
                <w:rFonts w:ascii="Times New Roman" w:hAnsi="Times New Roman" w:cs="Times New Roman"/>
                <w:color w:val="auto"/>
                <w:sz w:val="20"/>
                <w:szCs w:val="20"/>
              </w:rPr>
            </w:pPr>
            <w:r w:rsidRPr="0043761D">
              <w:rPr>
                <w:rFonts w:ascii="Times New Roman" w:hAnsi="Times New Roman" w:cs="Times New Roman"/>
                <w:color w:val="auto"/>
                <w:sz w:val="20"/>
                <w:szCs w:val="20"/>
              </w:rPr>
              <w:t>December</w:t>
            </w:r>
          </w:p>
        </w:tc>
        <w:tc>
          <w:tcPr>
            <w:tcW w:w="1134"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vAlign w:val="bottom"/>
          </w:tcPr>
          <w:p w:rsidR="00AC2B25" w:rsidRPr="0043761D" w:rsidRDefault="00AC2B25" w:rsidP="008E7D8E">
            <w:pPr>
              <w:jc w:val="center"/>
              <w:rPr>
                <w:rFonts w:ascii="Times New Roman" w:hAnsi="Times New Roman" w:cs="Times New Roman"/>
                <w:color w:val="auto"/>
                <w:sz w:val="20"/>
                <w:szCs w:val="20"/>
              </w:rPr>
            </w:pPr>
          </w:p>
        </w:tc>
        <w:tc>
          <w:tcPr>
            <w:tcW w:w="1216"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p>
        </w:tc>
        <w:tc>
          <w:tcPr>
            <w:tcW w:w="1193"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276"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992"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1276" w:type="dxa"/>
            <w:gridSpan w:val="2"/>
          </w:tcPr>
          <w:p w:rsidR="00AC2B25" w:rsidRPr="0043761D" w:rsidRDefault="00AC2B25" w:rsidP="008E7D8E">
            <w:pPr>
              <w:jc w:val="right"/>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vAlign w:val="bottom"/>
          </w:tcPr>
          <w:p w:rsidR="00AC2B25" w:rsidRPr="0043761D" w:rsidRDefault="00AC2B25" w:rsidP="008E7D8E">
            <w:pPr>
              <w:widowControl/>
              <w:rPr>
                <w:rFonts w:ascii="Times New Roman" w:hAnsi="Times New Roman" w:cs="Times New Roman"/>
                <w:color w:val="auto"/>
                <w:sz w:val="20"/>
                <w:szCs w:val="20"/>
              </w:rPr>
            </w:pPr>
            <w:r w:rsidRPr="0043761D">
              <w:rPr>
                <w:rFonts w:ascii="Times New Roman" w:hAnsi="Times New Roman" w:cs="Times New Roman"/>
                <w:color w:val="auto"/>
                <w:sz w:val="20"/>
                <w:szCs w:val="20"/>
              </w:rPr>
              <w:t>p/year</w:t>
            </w:r>
          </w:p>
        </w:tc>
        <w:tc>
          <w:tcPr>
            <w:tcW w:w="1134"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vAlign w:val="bottom"/>
          </w:tcPr>
          <w:p w:rsidR="00AC2B25" w:rsidRPr="0043761D" w:rsidRDefault="00AC2B25" w:rsidP="008E7D8E">
            <w:pPr>
              <w:jc w:val="center"/>
              <w:rPr>
                <w:rFonts w:ascii="Times New Roman" w:hAnsi="Times New Roman" w:cs="Times New Roman"/>
                <w:color w:val="auto"/>
                <w:sz w:val="20"/>
                <w:szCs w:val="20"/>
              </w:rPr>
            </w:pPr>
          </w:p>
        </w:tc>
        <w:tc>
          <w:tcPr>
            <w:tcW w:w="1216"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99.3</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100.0</w:t>
            </w:r>
          </w:p>
        </w:tc>
        <w:tc>
          <w:tcPr>
            <w:tcW w:w="1193"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134"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276"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992" w:type="dxa"/>
            <w:gridSpan w:val="2"/>
            <w:vAlign w:val="bottom"/>
          </w:tcPr>
          <w:p w:rsidR="00AC2B25" w:rsidRPr="0043761D" w:rsidRDefault="00AC2B25" w:rsidP="008E7D8E">
            <w:pPr>
              <w:jc w:val="cente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1276" w:type="dxa"/>
            <w:gridSpan w:val="2"/>
          </w:tcPr>
          <w:p w:rsidR="00AC2B25" w:rsidRPr="0043761D" w:rsidRDefault="00AC2B25" w:rsidP="008E7D8E">
            <w:pPr>
              <w:jc w:val="right"/>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noWrap/>
            <w:vAlign w:val="bottom"/>
          </w:tcPr>
          <w:p w:rsidR="00AC2B25" w:rsidRPr="0043761D" w:rsidRDefault="00AC2B25" w:rsidP="008E7D8E">
            <w:pPr>
              <w:widowControl/>
              <w:rPr>
                <w:rFonts w:ascii="Times New Roman" w:hAnsi="Times New Roman" w:cs="Times New Roman"/>
                <w:color w:val="auto"/>
                <w:sz w:val="20"/>
                <w:szCs w:val="20"/>
              </w:rPr>
            </w:pPr>
            <w:r w:rsidRPr="0043761D">
              <w:rPr>
                <w:rFonts w:ascii="Times New Roman" w:hAnsi="Times New Roman" w:cs="Times New Roman"/>
                <w:color w:val="auto"/>
                <w:sz w:val="20"/>
                <w:szCs w:val="20"/>
              </w:rPr>
              <w:t>January</w:t>
            </w: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64 120.8</w:t>
            </w:r>
          </w:p>
        </w:tc>
        <w:tc>
          <w:tcPr>
            <w:tcW w:w="1134" w:type="dxa"/>
            <w:noWrap/>
            <w:vAlign w:val="bottom"/>
          </w:tcPr>
          <w:p w:rsidR="00AC2B25" w:rsidRPr="0043761D" w:rsidRDefault="00AC2B25" w:rsidP="008E7D8E">
            <w:pPr>
              <w:rPr>
                <w:rFonts w:ascii="Times New Roman" w:hAnsi="Times New Roman" w:cs="Times New Roman"/>
                <w:color w:val="auto"/>
                <w:sz w:val="20"/>
                <w:szCs w:val="20"/>
              </w:rPr>
            </w:pPr>
          </w:p>
        </w:tc>
        <w:tc>
          <w:tcPr>
            <w:tcW w:w="1216"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93.9</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93.9</w:t>
            </w:r>
          </w:p>
        </w:tc>
        <w:tc>
          <w:tcPr>
            <w:tcW w:w="1193"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100.4</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54,860.3</w:t>
            </w:r>
          </w:p>
        </w:tc>
        <w:tc>
          <w:tcPr>
            <w:tcW w:w="992"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1276" w:type="dxa"/>
            <w:gridSpan w:val="2"/>
          </w:tcPr>
          <w:p w:rsidR="00AC2B25" w:rsidRPr="0043761D" w:rsidRDefault="00AC2B25" w:rsidP="008E7D8E">
            <w:pPr>
              <w:jc w:val="right"/>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noWrap/>
            <w:vAlign w:val="bottom"/>
          </w:tcPr>
          <w:p w:rsidR="00AC2B25" w:rsidRPr="0043761D" w:rsidRDefault="00AC2B25" w:rsidP="008E7D8E">
            <w:pPr>
              <w:widowControl/>
              <w:rPr>
                <w:rFonts w:ascii="Times New Roman" w:hAnsi="Times New Roman" w:cs="Times New Roman"/>
                <w:color w:val="auto"/>
                <w:sz w:val="20"/>
                <w:szCs w:val="20"/>
              </w:rPr>
            </w:pPr>
            <w:r w:rsidRPr="0043761D">
              <w:rPr>
                <w:rFonts w:ascii="Times New Roman" w:hAnsi="Times New Roman" w:cs="Times New Roman"/>
                <w:color w:val="auto"/>
                <w:sz w:val="20"/>
                <w:szCs w:val="20"/>
              </w:rPr>
              <w:t>February</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noWrap/>
            <w:vAlign w:val="bottom"/>
          </w:tcPr>
          <w:p w:rsidR="00AC2B25" w:rsidRPr="0043761D" w:rsidRDefault="00AC2B25" w:rsidP="008E7D8E">
            <w:pPr>
              <w:rPr>
                <w:rFonts w:ascii="Times New Roman" w:hAnsi="Times New Roman" w:cs="Times New Roman"/>
                <w:color w:val="auto"/>
                <w:sz w:val="20"/>
                <w:szCs w:val="20"/>
              </w:rPr>
            </w:pPr>
          </w:p>
        </w:tc>
        <w:tc>
          <w:tcPr>
            <w:tcW w:w="1216"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91.6</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86.0</w:t>
            </w:r>
          </w:p>
        </w:tc>
        <w:tc>
          <w:tcPr>
            <w:tcW w:w="1193"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85.9</w:t>
            </w: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992"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1276" w:type="dxa"/>
            <w:gridSpan w:val="2"/>
          </w:tcPr>
          <w:p w:rsidR="00AC2B25" w:rsidRPr="0043761D" w:rsidRDefault="00AC2B25" w:rsidP="008E7D8E">
            <w:pPr>
              <w:jc w:val="right"/>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noWrap/>
            <w:vAlign w:val="bottom"/>
          </w:tcPr>
          <w:p w:rsidR="00AC2B25" w:rsidRPr="0043761D" w:rsidRDefault="00AC2B25" w:rsidP="008E7D8E">
            <w:pPr>
              <w:widowControl/>
              <w:rPr>
                <w:rFonts w:ascii="Times New Roman" w:hAnsi="Times New Roman" w:cs="Times New Roman"/>
                <w:bCs/>
                <w:color w:val="auto"/>
                <w:sz w:val="20"/>
                <w:szCs w:val="20"/>
              </w:rPr>
            </w:pPr>
            <w:r w:rsidRPr="0043761D">
              <w:rPr>
                <w:rFonts w:ascii="Times New Roman" w:hAnsi="Times New Roman" w:cs="Times New Roman"/>
                <w:bCs/>
                <w:color w:val="auto"/>
                <w:sz w:val="20"/>
                <w:szCs w:val="20"/>
              </w:rPr>
              <w:t>March</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60,500.6</w:t>
            </w:r>
          </w:p>
        </w:tc>
        <w:tc>
          <w:tcPr>
            <w:tcW w:w="1216"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-3,620.2</w:t>
            </w: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90.5</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77.8</w:t>
            </w:r>
          </w:p>
        </w:tc>
        <w:tc>
          <w:tcPr>
            <w:tcW w:w="1193"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81.9</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992"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63,455.5</w:t>
            </w: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8,595.2</w:t>
            </w:r>
          </w:p>
        </w:tc>
        <w:tc>
          <w:tcPr>
            <w:tcW w:w="1276" w:type="dxa"/>
            <w:gridSpan w:val="2"/>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-12,215.4</w:t>
            </w:r>
          </w:p>
        </w:tc>
      </w:tr>
      <w:tr w:rsidR="00AC2B25" w:rsidRPr="0043761D" w:rsidTr="008E7D8E">
        <w:trPr>
          <w:gridAfter w:val="1"/>
          <w:wAfter w:w="40" w:type="dxa"/>
          <w:trHeight w:val="255"/>
        </w:trPr>
        <w:tc>
          <w:tcPr>
            <w:tcW w:w="1134" w:type="dxa"/>
            <w:noWrap/>
            <w:vAlign w:val="bottom"/>
          </w:tcPr>
          <w:p w:rsidR="00AC2B25" w:rsidRPr="0043761D" w:rsidRDefault="00AC2B25" w:rsidP="008E7D8E">
            <w:pPr>
              <w:widowControl/>
              <w:rPr>
                <w:rFonts w:ascii="Times New Roman" w:hAnsi="Times New Roman" w:cs="Times New Roman"/>
                <w:color w:val="auto"/>
                <w:sz w:val="20"/>
                <w:szCs w:val="20"/>
              </w:rPr>
            </w:pPr>
            <w:r w:rsidRPr="0043761D">
              <w:rPr>
                <w:rFonts w:ascii="Times New Roman" w:hAnsi="Times New Roman" w:cs="Times New Roman"/>
                <w:color w:val="auto"/>
                <w:sz w:val="20"/>
                <w:szCs w:val="20"/>
              </w:rPr>
              <w:t>April</w:t>
            </w: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60,500.6</w:t>
            </w:r>
          </w:p>
        </w:tc>
        <w:tc>
          <w:tcPr>
            <w:tcW w:w="1134" w:type="dxa"/>
            <w:noWrap/>
            <w:vAlign w:val="bottom"/>
          </w:tcPr>
          <w:p w:rsidR="00AC2B25" w:rsidRPr="0043761D" w:rsidRDefault="00AC2B25" w:rsidP="008E7D8E">
            <w:pPr>
              <w:rPr>
                <w:rFonts w:ascii="Times New Roman" w:hAnsi="Times New Roman" w:cs="Times New Roman"/>
                <w:color w:val="auto"/>
                <w:sz w:val="20"/>
                <w:szCs w:val="20"/>
              </w:rPr>
            </w:pPr>
          </w:p>
        </w:tc>
        <w:tc>
          <w:tcPr>
            <w:tcW w:w="1216"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100.2</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78.0</w:t>
            </w:r>
          </w:p>
        </w:tc>
        <w:tc>
          <w:tcPr>
            <w:tcW w:w="1193"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81.9</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57 102.5</w:t>
            </w:r>
          </w:p>
        </w:tc>
        <w:tc>
          <w:tcPr>
            <w:tcW w:w="992"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1276" w:type="dxa"/>
            <w:gridSpan w:val="2"/>
            <w:vAlign w:val="bottom"/>
          </w:tcPr>
          <w:p w:rsidR="00AC2B25" w:rsidRPr="0043761D" w:rsidRDefault="00AC2B25" w:rsidP="008E7D8E">
            <w:pPr>
              <w:jc w:val="right"/>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noWrap/>
            <w:vAlign w:val="bottom"/>
          </w:tcPr>
          <w:p w:rsidR="00AC2B25" w:rsidRPr="0043761D" w:rsidRDefault="00AC2B25" w:rsidP="008E7D8E">
            <w:pPr>
              <w:widowControl/>
              <w:rPr>
                <w:rFonts w:ascii="Times New Roman" w:hAnsi="Times New Roman" w:cs="Times New Roman"/>
                <w:color w:val="auto"/>
                <w:sz w:val="20"/>
                <w:szCs w:val="20"/>
              </w:rPr>
            </w:pPr>
            <w:r w:rsidRPr="0043761D">
              <w:rPr>
                <w:rFonts w:ascii="Times New Roman" w:hAnsi="Times New Roman" w:cs="Times New Roman"/>
                <w:color w:val="auto"/>
                <w:sz w:val="20"/>
                <w:szCs w:val="20"/>
              </w:rPr>
              <w:t>May</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noWrap/>
            <w:vAlign w:val="bottom"/>
          </w:tcPr>
          <w:p w:rsidR="00AC2B25" w:rsidRPr="0043761D" w:rsidRDefault="00AC2B25" w:rsidP="008E7D8E">
            <w:pPr>
              <w:rPr>
                <w:rFonts w:ascii="Times New Roman" w:hAnsi="Times New Roman" w:cs="Times New Roman"/>
                <w:color w:val="auto"/>
                <w:sz w:val="20"/>
                <w:szCs w:val="20"/>
              </w:rPr>
            </w:pPr>
          </w:p>
        </w:tc>
        <w:tc>
          <w:tcPr>
            <w:tcW w:w="1216"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99.2</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77.4</w:t>
            </w:r>
          </w:p>
        </w:tc>
        <w:tc>
          <w:tcPr>
            <w:tcW w:w="1193"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77.3</w:t>
            </w: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992"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1276" w:type="dxa"/>
            <w:gridSpan w:val="2"/>
            <w:vAlign w:val="bottom"/>
          </w:tcPr>
          <w:p w:rsidR="00AC2B25" w:rsidRPr="0043761D" w:rsidRDefault="00AC2B25" w:rsidP="008E7D8E">
            <w:pPr>
              <w:jc w:val="right"/>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noWrap/>
            <w:vAlign w:val="bottom"/>
          </w:tcPr>
          <w:p w:rsidR="00AC2B25" w:rsidRPr="0043761D" w:rsidRDefault="00AC2B25" w:rsidP="008E7D8E">
            <w:pPr>
              <w:widowControl/>
              <w:rPr>
                <w:rFonts w:ascii="Times New Roman" w:hAnsi="Times New Roman" w:cs="Times New Roman"/>
                <w:bCs/>
                <w:color w:val="auto"/>
                <w:sz w:val="20"/>
                <w:szCs w:val="20"/>
              </w:rPr>
            </w:pPr>
            <w:r w:rsidRPr="0043761D">
              <w:rPr>
                <w:rFonts w:ascii="Times New Roman" w:hAnsi="Times New Roman" w:cs="Times New Roman"/>
                <w:bCs/>
                <w:color w:val="auto"/>
                <w:sz w:val="20"/>
                <w:szCs w:val="20"/>
              </w:rPr>
              <w:t>June</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59,305.8</w:t>
            </w:r>
          </w:p>
        </w:tc>
        <w:tc>
          <w:tcPr>
            <w:tcW w:w="1216"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-1,194.8</w:t>
            </w: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99.0</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76.6</w:t>
            </w:r>
          </w:p>
        </w:tc>
        <w:tc>
          <w:tcPr>
            <w:tcW w:w="1193"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77.0</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992"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59,536.9</w:t>
            </w: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2434.4</w:t>
            </w:r>
          </w:p>
        </w:tc>
        <w:tc>
          <w:tcPr>
            <w:tcW w:w="1276" w:type="dxa"/>
            <w:gridSpan w:val="2"/>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-3,629.2</w:t>
            </w:r>
          </w:p>
        </w:tc>
      </w:tr>
      <w:tr w:rsidR="00AC2B25" w:rsidRPr="0043761D" w:rsidTr="008E7D8E">
        <w:trPr>
          <w:gridAfter w:val="1"/>
          <w:wAfter w:w="40" w:type="dxa"/>
          <w:trHeight w:val="255"/>
        </w:trPr>
        <w:tc>
          <w:tcPr>
            <w:tcW w:w="1134" w:type="dxa"/>
            <w:noWrap/>
            <w:vAlign w:val="bottom"/>
          </w:tcPr>
          <w:p w:rsidR="00AC2B25" w:rsidRPr="0043761D" w:rsidRDefault="00AC2B25" w:rsidP="008E7D8E">
            <w:pPr>
              <w:widowControl/>
              <w:rPr>
                <w:rFonts w:ascii="Times New Roman" w:hAnsi="Times New Roman" w:cs="Times New Roman"/>
                <w:color w:val="auto"/>
                <w:sz w:val="20"/>
                <w:szCs w:val="20"/>
              </w:rPr>
            </w:pPr>
            <w:r w:rsidRPr="0043761D">
              <w:rPr>
                <w:rFonts w:ascii="Times New Roman" w:hAnsi="Times New Roman" w:cs="Times New Roman"/>
                <w:color w:val="auto"/>
                <w:sz w:val="20"/>
                <w:szCs w:val="20"/>
              </w:rPr>
              <w:t>July</w:t>
            </w: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59,305.8</w:t>
            </w:r>
          </w:p>
        </w:tc>
        <w:tc>
          <w:tcPr>
            <w:tcW w:w="1134" w:type="dxa"/>
            <w:noWrap/>
            <w:vAlign w:val="bottom"/>
          </w:tcPr>
          <w:p w:rsidR="00AC2B25" w:rsidRPr="0043761D" w:rsidRDefault="00AC2B25" w:rsidP="008E7D8E">
            <w:pPr>
              <w:rPr>
                <w:rFonts w:ascii="Times New Roman" w:hAnsi="Times New Roman" w:cs="Times New Roman"/>
                <w:color w:val="auto"/>
                <w:sz w:val="20"/>
                <w:szCs w:val="20"/>
              </w:rPr>
            </w:pPr>
          </w:p>
        </w:tc>
        <w:tc>
          <w:tcPr>
            <w:tcW w:w="1216"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98.6</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75.5</w:t>
            </w:r>
          </w:p>
        </w:tc>
        <w:tc>
          <w:tcPr>
            <w:tcW w:w="1193"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77.0</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58,304.5</w:t>
            </w:r>
          </w:p>
        </w:tc>
        <w:tc>
          <w:tcPr>
            <w:tcW w:w="992"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1276" w:type="dxa"/>
            <w:gridSpan w:val="2"/>
            <w:vAlign w:val="bottom"/>
          </w:tcPr>
          <w:p w:rsidR="00AC2B25" w:rsidRPr="0043761D" w:rsidRDefault="00AC2B25" w:rsidP="008E7D8E">
            <w:pPr>
              <w:jc w:val="right"/>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noWrap/>
            <w:vAlign w:val="bottom"/>
          </w:tcPr>
          <w:p w:rsidR="00AC2B25" w:rsidRPr="0043761D" w:rsidRDefault="00AC2B25" w:rsidP="008E7D8E">
            <w:pPr>
              <w:widowControl/>
              <w:rPr>
                <w:rFonts w:ascii="Times New Roman" w:hAnsi="Times New Roman" w:cs="Times New Roman"/>
                <w:color w:val="auto"/>
                <w:sz w:val="20"/>
                <w:szCs w:val="20"/>
              </w:rPr>
            </w:pPr>
            <w:r w:rsidRPr="0043761D">
              <w:rPr>
                <w:rFonts w:ascii="Times New Roman" w:hAnsi="Times New Roman" w:cs="Times New Roman"/>
                <w:color w:val="auto"/>
                <w:sz w:val="20"/>
                <w:szCs w:val="20"/>
              </w:rPr>
              <w:t>August</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noWrap/>
            <w:vAlign w:val="bottom"/>
          </w:tcPr>
          <w:p w:rsidR="00AC2B25" w:rsidRPr="0043761D" w:rsidRDefault="00AC2B25" w:rsidP="008E7D8E">
            <w:pPr>
              <w:rPr>
                <w:rFonts w:ascii="Times New Roman" w:hAnsi="Times New Roman" w:cs="Times New Roman"/>
                <w:color w:val="auto"/>
                <w:sz w:val="20"/>
                <w:szCs w:val="20"/>
              </w:rPr>
            </w:pPr>
          </w:p>
        </w:tc>
        <w:tc>
          <w:tcPr>
            <w:tcW w:w="1216"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99.8</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75.3</w:t>
            </w:r>
          </w:p>
        </w:tc>
        <w:tc>
          <w:tcPr>
            <w:tcW w:w="1193"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75.7</w:t>
            </w: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992"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1276" w:type="dxa"/>
            <w:gridSpan w:val="2"/>
            <w:vAlign w:val="bottom"/>
          </w:tcPr>
          <w:p w:rsidR="00AC2B25" w:rsidRPr="0043761D" w:rsidRDefault="00AC2B25" w:rsidP="008E7D8E">
            <w:pPr>
              <w:jc w:val="right"/>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noWrap/>
            <w:vAlign w:val="bottom"/>
          </w:tcPr>
          <w:p w:rsidR="00AC2B25" w:rsidRPr="0043761D" w:rsidRDefault="00AC2B25" w:rsidP="008E7D8E">
            <w:pPr>
              <w:widowControl/>
              <w:rPr>
                <w:rFonts w:ascii="Times New Roman" w:hAnsi="Times New Roman" w:cs="Times New Roman"/>
                <w:bCs/>
                <w:color w:val="auto"/>
                <w:sz w:val="20"/>
                <w:szCs w:val="20"/>
              </w:rPr>
            </w:pPr>
            <w:r w:rsidRPr="0043761D">
              <w:rPr>
                <w:rFonts w:ascii="Times New Roman" w:hAnsi="Times New Roman" w:cs="Times New Roman"/>
                <w:bCs/>
                <w:color w:val="auto"/>
                <w:sz w:val="20"/>
                <w:szCs w:val="20"/>
              </w:rPr>
              <w:t>September</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67,424.4</w:t>
            </w:r>
          </w:p>
        </w:tc>
        <w:tc>
          <w:tcPr>
            <w:tcW w:w="1216"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8,118.6</w:t>
            </w: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101.3</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76.3</w:t>
            </w:r>
          </w:p>
        </w:tc>
        <w:tc>
          <w:tcPr>
            <w:tcW w:w="1193"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75.8</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992"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67,335.4</w:t>
            </w: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9,030.9</w:t>
            </w:r>
          </w:p>
        </w:tc>
        <w:tc>
          <w:tcPr>
            <w:tcW w:w="1276" w:type="dxa"/>
            <w:gridSpan w:val="2"/>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-912.3</w:t>
            </w:r>
          </w:p>
        </w:tc>
      </w:tr>
      <w:tr w:rsidR="00AC2B25" w:rsidRPr="0043761D" w:rsidTr="008E7D8E">
        <w:trPr>
          <w:gridAfter w:val="1"/>
          <w:wAfter w:w="40" w:type="dxa"/>
          <w:trHeight w:val="255"/>
        </w:trPr>
        <w:tc>
          <w:tcPr>
            <w:tcW w:w="1134" w:type="dxa"/>
            <w:noWrap/>
            <w:vAlign w:val="bottom"/>
          </w:tcPr>
          <w:p w:rsidR="00AC2B25" w:rsidRPr="0043761D" w:rsidRDefault="00AC2B25" w:rsidP="008E7D8E">
            <w:pPr>
              <w:widowControl/>
              <w:rPr>
                <w:rFonts w:ascii="Times New Roman" w:hAnsi="Times New Roman" w:cs="Times New Roman"/>
                <w:color w:val="auto"/>
                <w:sz w:val="20"/>
                <w:szCs w:val="20"/>
              </w:rPr>
            </w:pPr>
            <w:r w:rsidRPr="0043761D">
              <w:rPr>
                <w:rFonts w:ascii="Times New Roman" w:hAnsi="Times New Roman" w:cs="Times New Roman"/>
                <w:color w:val="auto"/>
                <w:sz w:val="20"/>
                <w:szCs w:val="20"/>
              </w:rPr>
              <w:t>October</w:t>
            </w: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67,424.4</w:t>
            </w:r>
          </w:p>
        </w:tc>
        <w:tc>
          <w:tcPr>
            <w:tcW w:w="1134" w:type="dxa"/>
            <w:noWrap/>
            <w:vAlign w:val="bottom"/>
          </w:tcPr>
          <w:p w:rsidR="00AC2B25" w:rsidRPr="0043761D" w:rsidRDefault="00AC2B25" w:rsidP="008E7D8E">
            <w:pPr>
              <w:rPr>
                <w:rFonts w:ascii="Times New Roman" w:hAnsi="Times New Roman" w:cs="Times New Roman"/>
                <w:color w:val="auto"/>
                <w:sz w:val="20"/>
                <w:szCs w:val="20"/>
              </w:rPr>
            </w:pPr>
          </w:p>
        </w:tc>
        <w:tc>
          <w:tcPr>
            <w:tcW w:w="1216"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114.0</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87.0</w:t>
            </w:r>
          </w:p>
        </w:tc>
        <w:tc>
          <w:tcPr>
            <w:tcW w:w="1193"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75.8</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83,257.6</w:t>
            </w:r>
          </w:p>
        </w:tc>
        <w:tc>
          <w:tcPr>
            <w:tcW w:w="992"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1276" w:type="dxa"/>
            <w:gridSpan w:val="2"/>
            <w:vAlign w:val="bottom"/>
          </w:tcPr>
          <w:p w:rsidR="00AC2B25" w:rsidRPr="0043761D" w:rsidRDefault="00AC2B25" w:rsidP="008E7D8E">
            <w:pPr>
              <w:jc w:val="right"/>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noWrap/>
            <w:vAlign w:val="bottom"/>
          </w:tcPr>
          <w:p w:rsidR="00AC2B25" w:rsidRPr="0043761D" w:rsidRDefault="00AC2B25" w:rsidP="008E7D8E">
            <w:pPr>
              <w:widowControl/>
              <w:rPr>
                <w:rFonts w:ascii="Times New Roman" w:hAnsi="Times New Roman" w:cs="Times New Roman"/>
                <w:color w:val="auto"/>
                <w:sz w:val="20"/>
                <w:szCs w:val="20"/>
              </w:rPr>
            </w:pPr>
            <w:r w:rsidRPr="0043761D">
              <w:rPr>
                <w:rFonts w:ascii="Times New Roman" w:hAnsi="Times New Roman" w:cs="Times New Roman"/>
                <w:color w:val="auto"/>
                <w:sz w:val="20"/>
                <w:szCs w:val="20"/>
              </w:rPr>
              <w:t>november</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noWrap/>
            <w:vAlign w:val="bottom"/>
          </w:tcPr>
          <w:p w:rsidR="00AC2B25" w:rsidRPr="0043761D" w:rsidRDefault="00AC2B25" w:rsidP="008E7D8E">
            <w:pPr>
              <w:rPr>
                <w:rFonts w:ascii="Times New Roman" w:hAnsi="Times New Roman" w:cs="Times New Roman"/>
                <w:color w:val="auto"/>
                <w:sz w:val="20"/>
                <w:szCs w:val="20"/>
              </w:rPr>
            </w:pPr>
          </w:p>
        </w:tc>
        <w:tc>
          <w:tcPr>
            <w:tcW w:w="1216"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109.6</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95.4</w:t>
            </w:r>
          </w:p>
        </w:tc>
        <w:tc>
          <w:tcPr>
            <w:tcW w:w="1193"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93.6</w:t>
            </w: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992"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1276" w:type="dxa"/>
            <w:gridSpan w:val="2"/>
            <w:vAlign w:val="bottom"/>
          </w:tcPr>
          <w:p w:rsidR="00AC2B25" w:rsidRPr="0043761D" w:rsidRDefault="00AC2B25" w:rsidP="008E7D8E">
            <w:pPr>
              <w:jc w:val="right"/>
              <w:rPr>
                <w:rFonts w:ascii="Times New Roman" w:hAnsi="Times New Roman" w:cs="Times New Roman"/>
                <w:color w:val="auto"/>
                <w:sz w:val="20"/>
                <w:szCs w:val="20"/>
              </w:rPr>
            </w:pPr>
          </w:p>
        </w:tc>
      </w:tr>
      <w:tr w:rsidR="00AC2B25" w:rsidRPr="0043761D" w:rsidTr="008E7D8E">
        <w:trPr>
          <w:gridAfter w:val="1"/>
          <w:wAfter w:w="40" w:type="dxa"/>
          <w:trHeight w:val="255"/>
        </w:trPr>
        <w:tc>
          <w:tcPr>
            <w:tcW w:w="1134" w:type="dxa"/>
            <w:noWrap/>
            <w:vAlign w:val="bottom"/>
          </w:tcPr>
          <w:p w:rsidR="00AC2B25" w:rsidRPr="0043761D" w:rsidRDefault="00AC2B25" w:rsidP="008E7D8E">
            <w:pPr>
              <w:widowControl/>
              <w:rPr>
                <w:rFonts w:ascii="Times New Roman" w:hAnsi="Times New Roman" w:cs="Times New Roman"/>
                <w:bCs/>
                <w:color w:val="auto"/>
                <w:sz w:val="20"/>
                <w:szCs w:val="20"/>
              </w:rPr>
            </w:pPr>
            <w:r w:rsidRPr="0043761D">
              <w:rPr>
                <w:rFonts w:ascii="Times New Roman" w:hAnsi="Times New Roman" w:cs="Times New Roman"/>
                <w:bCs/>
                <w:color w:val="auto"/>
                <w:sz w:val="20"/>
                <w:szCs w:val="20"/>
              </w:rPr>
              <w:t>December</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71,977.2</w:t>
            </w:r>
          </w:p>
        </w:tc>
        <w:tc>
          <w:tcPr>
            <w:tcW w:w="1216"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4552.8</w:t>
            </w: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103.1</w:t>
            </w:r>
          </w:p>
        </w:tc>
        <w:tc>
          <w:tcPr>
            <w:tcW w:w="911" w:type="dxa"/>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98.4</w:t>
            </w:r>
          </w:p>
        </w:tc>
        <w:tc>
          <w:tcPr>
            <w:tcW w:w="1193"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134"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96.9</w:t>
            </w:r>
          </w:p>
        </w:tc>
        <w:tc>
          <w:tcPr>
            <w:tcW w:w="1134" w:type="dxa"/>
            <w:gridSpan w:val="2"/>
            <w:noWrap/>
            <w:vAlign w:val="bottom"/>
          </w:tcPr>
          <w:p w:rsidR="00AC2B25" w:rsidRPr="0043761D" w:rsidRDefault="00AC2B25" w:rsidP="008E7D8E">
            <w:pPr>
              <w:rPr>
                <w:rFonts w:ascii="Times New Roman" w:hAnsi="Times New Roman" w:cs="Times New Roman"/>
                <w:color w:val="auto"/>
                <w:sz w:val="20"/>
                <w:szCs w:val="20"/>
              </w:rPr>
            </w:pP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p>
        </w:tc>
        <w:tc>
          <w:tcPr>
            <w:tcW w:w="992"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69,526.0</w:t>
            </w:r>
          </w:p>
        </w:tc>
        <w:tc>
          <w:tcPr>
            <w:tcW w:w="1276" w:type="dxa"/>
            <w:gridSpan w:val="2"/>
            <w:noWrap/>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-13,731.6</w:t>
            </w:r>
          </w:p>
        </w:tc>
        <w:tc>
          <w:tcPr>
            <w:tcW w:w="1276" w:type="dxa"/>
            <w:gridSpan w:val="2"/>
            <w:vAlign w:val="bottom"/>
          </w:tcPr>
          <w:p w:rsidR="00AC2B25" w:rsidRPr="0043761D" w:rsidRDefault="00AC2B25" w:rsidP="008E7D8E">
            <w:pPr>
              <w:jc w:val="right"/>
              <w:rPr>
                <w:rFonts w:ascii="Times New Roman" w:hAnsi="Times New Roman" w:cs="Times New Roman"/>
                <w:color w:val="auto"/>
                <w:sz w:val="20"/>
                <w:szCs w:val="20"/>
              </w:rPr>
            </w:pPr>
            <w:r w:rsidRPr="0043761D">
              <w:rPr>
                <w:rFonts w:ascii="Times New Roman" w:hAnsi="Times New Roman" w:cs="Times New Roman"/>
                <w:color w:val="auto"/>
                <w:sz w:val="20"/>
                <w:szCs w:val="20"/>
              </w:rPr>
              <w:t>18,284.4</w:t>
            </w:r>
          </w:p>
        </w:tc>
      </w:tr>
      <w:tr w:rsidR="00AC2B25" w:rsidRPr="00636184" w:rsidTr="008E7D8E">
        <w:trPr>
          <w:gridAfter w:val="1"/>
          <w:wAfter w:w="40" w:type="dxa"/>
          <w:trHeight w:val="270"/>
        </w:trPr>
        <w:tc>
          <w:tcPr>
            <w:tcW w:w="1134" w:type="dxa"/>
            <w:tcBorders>
              <w:bottom w:val="single" w:sz="4" w:space="0" w:color="auto"/>
            </w:tcBorders>
            <w:noWrap/>
            <w:vAlign w:val="bottom"/>
          </w:tcPr>
          <w:p w:rsidR="00AC2B25" w:rsidRPr="0043761D" w:rsidRDefault="00AC2B25" w:rsidP="008E7D8E">
            <w:pPr>
              <w:widowControl/>
              <w:rPr>
                <w:rFonts w:ascii="Times New Roman" w:hAnsi="Times New Roman" w:cs="Times New Roman"/>
                <w:bCs/>
                <w:iCs/>
                <w:color w:val="auto"/>
                <w:sz w:val="20"/>
                <w:szCs w:val="20"/>
              </w:rPr>
            </w:pPr>
            <w:r w:rsidRPr="0043761D">
              <w:rPr>
                <w:rFonts w:ascii="Times New Roman" w:hAnsi="Times New Roman" w:cs="Times New Roman"/>
                <w:bCs/>
                <w:iCs/>
                <w:color w:val="auto"/>
                <w:sz w:val="20"/>
                <w:szCs w:val="20"/>
              </w:rPr>
              <w:t>Year</w:t>
            </w:r>
          </w:p>
        </w:tc>
        <w:tc>
          <w:tcPr>
            <w:tcW w:w="1134" w:type="dxa"/>
            <w:gridSpan w:val="2"/>
            <w:tcBorders>
              <w:bottom w:val="single" w:sz="4" w:space="0" w:color="auto"/>
            </w:tcBorders>
            <w:noWrap/>
            <w:vAlign w:val="bottom"/>
          </w:tcPr>
          <w:p w:rsidR="00AC2B25" w:rsidRPr="0043761D" w:rsidRDefault="00AC2B25" w:rsidP="008E7D8E">
            <w:pPr>
              <w:jc w:val="right"/>
              <w:rPr>
                <w:rFonts w:ascii="Times New Roman" w:hAnsi="Times New Roman" w:cs="Times New Roman"/>
                <w:iCs/>
                <w:color w:val="auto"/>
                <w:sz w:val="20"/>
                <w:szCs w:val="20"/>
              </w:rPr>
            </w:pPr>
            <w:r w:rsidRPr="0043761D">
              <w:rPr>
                <w:rFonts w:ascii="Times New Roman" w:hAnsi="Times New Roman" w:cs="Times New Roman"/>
                <w:iCs/>
                <w:color w:val="auto"/>
                <w:sz w:val="20"/>
                <w:szCs w:val="20"/>
              </w:rPr>
              <w:t>64 120.8</w:t>
            </w:r>
          </w:p>
        </w:tc>
        <w:tc>
          <w:tcPr>
            <w:tcW w:w="1134" w:type="dxa"/>
            <w:tcBorders>
              <w:bottom w:val="single" w:sz="4" w:space="0" w:color="auto"/>
            </w:tcBorders>
            <w:noWrap/>
            <w:vAlign w:val="bottom"/>
          </w:tcPr>
          <w:p w:rsidR="00AC2B25" w:rsidRPr="0043761D" w:rsidRDefault="00AC2B25" w:rsidP="008E7D8E">
            <w:pPr>
              <w:jc w:val="right"/>
              <w:rPr>
                <w:rFonts w:ascii="Times New Roman" w:hAnsi="Times New Roman" w:cs="Times New Roman"/>
                <w:iCs/>
                <w:color w:val="auto"/>
                <w:sz w:val="20"/>
                <w:szCs w:val="20"/>
              </w:rPr>
            </w:pPr>
            <w:r w:rsidRPr="0043761D">
              <w:rPr>
                <w:rFonts w:ascii="Times New Roman" w:hAnsi="Times New Roman" w:cs="Times New Roman"/>
                <w:iCs/>
                <w:color w:val="auto"/>
                <w:sz w:val="20"/>
                <w:szCs w:val="20"/>
              </w:rPr>
              <w:t>73,234.5</w:t>
            </w:r>
          </w:p>
        </w:tc>
        <w:tc>
          <w:tcPr>
            <w:tcW w:w="1216" w:type="dxa"/>
            <w:gridSpan w:val="2"/>
            <w:tcBorders>
              <w:bottom w:val="single" w:sz="4" w:space="0" w:color="auto"/>
            </w:tcBorders>
            <w:noWrap/>
            <w:vAlign w:val="bottom"/>
          </w:tcPr>
          <w:p w:rsidR="00AC2B25" w:rsidRPr="0043761D" w:rsidRDefault="00AC2B25" w:rsidP="008E7D8E">
            <w:pPr>
              <w:jc w:val="right"/>
              <w:rPr>
                <w:rFonts w:ascii="Times New Roman" w:hAnsi="Times New Roman" w:cs="Times New Roman"/>
                <w:iCs/>
                <w:color w:val="auto"/>
                <w:sz w:val="20"/>
                <w:szCs w:val="20"/>
              </w:rPr>
            </w:pPr>
            <w:r w:rsidRPr="0043761D">
              <w:rPr>
                <w:rFonts w:ascii="Times New Roman" w:hAnsi="Times New Roman" w:cs="Times New Roman"/>
                <w:iCs/>
                <w:color w:val="auto"/>
                <w:sz w:val="20"/>
                <w:szCs w:val="20"/>
              </w:rPr>
              <w:t>7,856.4</w:t>
            </w:r>
          </w:p>
        </w:tc>
        <w:tc>
          <w:tcPr>
            <w:tcW w:w="1134" w:type="dxa"/>
            <w:gridSpan w:val="2"/>
            <w:tcBorders>
              <w:bottom w:val="single" w:sz="4" w:space="0" w:color="auto"/>
            </w:tcBorders>
            <w:noWrap/>
            <w:vAlign w:val="bottom"/>
          </w:tcPr>
          <w:p w:rsidR="00AC2B25" w:rsidRPr="0043761D" w:rsidRDefault="00AC2B25" w:rsidP="008E7D8E">
            <w:pPr>
              <w:rPr>
                <w:rFonts w:ascii="Times New Roman" w:hAnsi="Times New Roman" w:cs="Times New Roman"/>
                <w:iCs/>
                <w:color w:val="auto"/>
                <w:sz w:val="20"/>
                <w:szCs w:val="20"/>
              </w:rPr>
            </w:pPr>
          </w:p>
        </w:tc>
        <w:tc>
          <w:tcPr>
            <w:tcW w:w="911" w:type="dxa"/>
            <w:tcBorders>
              <w:bottom w:val="single" w:sz="4" w:space="0" w:color="auto"/>
            </w:tcBorders>
            <w:noWrap/>
            <w:vAlign w:val="bottom"/>
          </w:tcPr>
          <w:p w:rsidR="00AC2B25" w:rsidRPr="0043761D" w:rsidRDefault="00AC2B25" w:rsidP="008E7D8E">
            <w:pPr>
              <w:rPr>
                <w:rFonts w:ascii="Times New Roman" w:hAnsi="Times New Roman" w:cs="Times New Roman"/>
                <w:iCs/>
                <w:color w:val="auto"/>
                <w:sz w:val="20"/>
                <w:szCs w:val="20"/>
              </w:rPr>
            </w:pPr>
          </w:p>
        </w:tc>
        <w:tc>
          <w:tcPr>
            <w:tcW w:w="1193" w:type="dxa"/>
            <w:gridSpan w:val="2"/>
            <w:tcBorders>
              <w:bottom w:val="single" w:sz="4" w:space="0" w:color="auto"/>
            </w:tcBorders>
            <w:noWrap/>
            <w:vAlign w:val="bottom"/>
          </w:tcPr>
          <w:p w:rsidR="00AC2B25" w:rsidRPr="0043761D" w:rsidRDefault="00AC2B25" w:rsidP="008E7D8E">
            <w:pPr>
              <w:rPr>
                <w:rFonts w:ascii="Times New Roman" w:hAnsi="Times New Roman" w:cs="Times New Roman"/>
                <w:iCs/>
                <w:color w:val="auto"/>
                <w:sz w:val="20"/>
                <w:szCs w:val="20"/>
              </w:rPr>
            </w:pPr>
          </w:p>
        </w:tc>
        <w:tc>
          <w:tcPr>
            <w:tcW w:w="1134" w:type="dxa"/>
            <w:gridSpan w:val="2"/>
            <w:tcBorders>
              <w:bottom w:val="single" w:sz="4" w:space="0" w:color="auto"/>
            </w:tcBorders>
            <w:noWrap/>
            <w:vAlign w:val="bottom"/>
          </w:tcPr>
          <w:p w:rsidR="00AC2B25" w:rsidRPr="0043761D" w:rsidRDefault="00AC2B25" w:rsidP="008E7D8E">
            <w:pPr>
              <w:rPr>
                <w:rFonts w:ascii="Times New Roman" w:hAnsi="Times New Roman" w:cs="Times New Roman"/>
                <w:iCs/>
                <w:color w:val="auto"/>
                <w:sz w:val="20"/>
                <w:szCs w:val="20"/>
              </w:rPr>
            </w:pPr>
          </w:p>
        </w:tc>
        <w:tc>
          <w:tcPr>
            <w:tcW w:w="1134" w:type="dxa"/>
            <w:gridSpan w:val="2"/>
            <w:tcBorders>
              <w:bottom w:val="single" w:sz="4" w:space="0" w:color="auto"/>
            </w:tcBorders>
            <w:noWrap/>
            <w:vAlign w:val="bottom"/>
          </w:tcPr>
          <w:p w:rsidR="00AC2B25" w:rsidRPr="0043761D" w:rsidRDefault="00AC2B25" w:rsidP="008E7D8E">
            <w:pPr>
              <w:rPr>
                <w:rFonts w:ascii="Times New Roman" w:hAnsi="Times New Roman" w:cs="Times New Roman"/>
                <w:iCs/>
                <w:color w:val="auto"/>
                <w:sz w:val="20"/>
                <w:szCs w:val="20"/>
              </w:rPr>
            </w:pPr>
          </w:p>
        </w:tc>
        <w:tc>
          <w:tcPr>
            <w:tcW w:w="1276" w:type="dxa"/>
            <w:gridSpan w:val="2"/>
            <w:tcBorders>
              <w:bottom w:val="single" w:sz="4" w:space="0" w:color="auto"/>
            </w:tcBorders>
            <w:noWrap/>
            <w:vAlign w:val="bottom"/>
          </w:tcPr>
          <w:p w:rsidR="00AC2B25" w:rsidRPr="0043761D" w:rsidRDefault="00AC2B25" w:rsidP="008E7D8E">
            <w:pPr>
              <w:jc w:val="right"/>
              <w:rPr>
                <w:rFonts w:ascii="Times New Roman" w:hAnsi="Times New Roman" w:cs="Times New Roman"/>
                <w:iCs/>
                <w:color w:val="auto"/>
                <w:sz w:val="20"/>
                <w:szCs w:val="20"/>
              </w:rPr>
            </w:pPr>
          </w:p>
        </w:tc>
        <w:tc>
          <w:tcPr>
            <w:tcW w:w="992" w:type="dxa"/>
            <w:gridSpan w:val="2"/>
            <w:tcBorders>
              <w:bottom w:val="single" w:sz="4" w:space="0" w:color="auto"/>
            </w:tcBorders>
            <w:vAlign w:val="bottom"/>
          </w:tcPr>
          <w:p w:rsidR="00AC2B25" w:rsidRPr="0043761D" w:rsidRDefault="00AC2B25" w:rsidP="008E7D8E">
            <w:pPr>
              <w:jc w:val="center"/>
              <w:rPr>
                <w:rFonts w:ascii="Times New Roman" w:hAnsi="Times New Roman" w:cs="Times New Roman"/>
                <w:iCs/>
                <w:color w:val="auto"/>
                <w:sz w:val="20"/>
                <w:szCs w:val="20"/>
              </w:rPr>
            </w:pPr>
          </w:p>
        </w:tc>
        <w:tc>
          <w:tcPr>
            <w:tcW w:w="1276" w:type="dxa"/>
            <w:gridSpan w:val="2"/>
            <w:tcBorders>
              <w:bottom w:val="single" w:sz="4" w:space="0" w:color="auto"/>
            </w:tcBorders>
            <w:noWrap/>
            <w:vAlign w:val="bottom"/>
          </w:tcPr>
          <w:p w:rsidR="00AC2B25" w:rsidRPr="0043761D" w:rsidRDefault="00AC2B25" w:rsidP="008E7D8E">
            <w:pPr>
              <w:jc w:val="right"/>
              <w:rPr>
                <w:rFonts w:ascii="Times New Roman" w:hAnsi="Times New Roman" w:cs="Times New Roman"/>
                <w:bCs/>
                <w:iCs/>
                <w:color w:val="auto"/>
                <w:sz w:val="20"/>
                <w:szCs w:val="20"/>
              </w:rPr>
            </w:pPr>
            <w:r w:rsidRPr="0043761D">
              <w:rPr>
                <w:rFonts w:ascii="Times New Roman" w:hAnsi="Times New Roman" w:cs="Times New Roman"/>
                <w:bCs/>
                <w:iCs/>
                <w:color w:val="auto"/>
                <w:sz w:val="20"/>
                <w:szCs w:val="20"/>
              </w:rPr>
              <w:t>6328.9</w:t>
            </w:r>
          </w:p>
        </w:tc>
        <w:tc>
          <w:tcPr>
            <w:tcW w:w="1276" w:type="dxa"/>
            <w:gridSpan w:val="2"/>
            <w:tcBorders>
              <w:bottom w:val="single" w:sz="4" w:space="0" w:color="auto"/>
            </w:tcBorders>
            <w:vAlign w:val="bottom"/>
          </w:tcPr>
          <w:p w:rsidR="00AC2B25" w:rsidRPr="005D520F" w:rsidRDefault="00AC2B25" w:rsidP="008E7D8E">
            <w:pPr>
              <w:jc w:val="right"/>
              <w:rPr>
                <w:rFonts w:ascii="Times New Roman" w:hAnsi="Times New Roman" w:cs="Times New Roman"/>
                <w:bCs/>
                <w:iCs/>
                <w:color w:val="auto"/>
                <w:sz w:val="20"/>
                <w:szCs w:val="20"/>
              </w:rPr>
            </w:pPr>
            <w:r w:rsidRPr="0043761D">
              <w:rPr>
                <w:rFonts w:ascii="Times New Roman" w:hAnsi="Times New Roman" w:cs="Times New Roman"/>
                <w:bCs/>
                <w:iCs/>
                <w:color w:val="auto"/>
                <w:sz w:val="20"/>
                <w:szCs w:val="20"/>
              </w:rPr>
              <w:t>6328.9</w:t>
            </w:r>
          </w:p>
        </w:tc>
      </w:tr>
    </w:tbl>
    <w:p w:rsidR="00AC2B25" w:rsidRPr="00B61C16" w:rsidRDefault="00AC2B25" w:rsidP="00AC2B25">
      <w:pPr>
        <w:pStyle w:val="21"/>
        <w:keepNext/>
        <w:keepLines/>
        <w:shd w:val="clear" w:color="auto" w:fill="auto"/>
        <w:spacing w:after="0" w:line="260" w:lineRule="exact"/>
        <w:jc w:val="left"/>
        <w:rPr>
          <w:color w:val="0C0000"/>
          <w:sz w:val="20"/>
          <w:szCs w:val="28"/>
        </w:rPr>
      </w:pPr>
    </w:p>
    <w:p w:rsidR="00B219A7" w:rsidRDefault="00B219A7"/>
    <w:sectPr w:rsidR="00B219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3C" w:rsidRDefault="003C573C">
      <w:r>
        <w:separator/>
      </w:r>
    </w:p>
  </w:endnote>
  <w:endnote w:type="continuationSeparator" w:id="0">
    <w:p w:rsidR="003C573C" w:rsidRDefault="003C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3C" w:rsidRDefault="003C573C">
      <w:r>
        <w:separator/>
      </w:r>
    </w:p>
  </w:footnote>
  <w:footnote w:type="continuationSeparator" w:id="0">
    <w:p w:rsidR="003C573C" w:rsidRDefault="003C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6C" w:rsidRPr="000C236C" w:rsidRDefault="00AC2B25">
    <w:pPr>
      <w:pStyle w:val="a4"/>
      <w:jc w:val="center"/>
      <w:rPr>
        <w:rFonts w:ascii="Times New Roman" w:hAnsi="Times New Roman" w:cs="Times New Roman"/>
        <w:sz w:val="24"/>
        <w:szCs w:val="24"/>
      </w:rPr>
    </w:pPr>
    <w:r>
      <w:rPr>
        <w:rFonts w:ascii="Times New Roman" w:hAnsi="Times New Roman" w:cs="Times New Roman"/>
        <w:noProof/>
        <w:sz w:val="24"/>
        <w:szCs w:val="24"/>
        <w:lang w:val="ru-RU"/>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-180340</wp:posOffset>
              </wp:positionV>
              <wp:extent cx="0" cy="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C16" w:rsidRPr="00B61C16" w:rsidRDefault="00AC2B25">
                          <w:pPr>
                            <w:rPr>
                              <w:rFonts w:ascii="Times New Roman" w:hAnsi="Times New Roman" w:cs="Times New Roman"/>
                              <w:color w:val="0C0000"/>
                              <w:sz w:val="14"/>
                            </w:rPr>
                          </w:pPr>
                          <w:r>
                            <w:rPr>
                              <w:rFonts w:ascii="Times New Roman" w:hAnsi="Times New Roman" w:cs="Times New Roman"/>
                              <w:color w:val="0C0000"/>
                              <w:sz w:val="14"/>
                            </w:rPr>
                            <w:t xml:space="preserve">13.10.2015 ЕСЭДО ГО (версия 7.13.2)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0.9pt;margin-top:-14.2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" stroked="f">
              <v:textbox style="layout-flow:vertical;mso-layout-flow-alt:bottom-to-top">
                <w:txbxContent>
                  <w:p w:rsidR="00B61C16" w:rsidRPr="00B61C16" w:rsidRDefault="00AC2B25">
                    <w:pPr>
                      <w:rPr>
                        <w:rFonts w:ascii="Times New Roman" w:hAnsi="Times New Roman" w:cs="Times New Roman"/>
                        <w:color w:val="0C0000"/>
                        <w:sz w:val="14"/>
                      </w:rPr>
                    </w:pPr>
                    <w:r>
                      <w:rPr>
                        <w:rFonts w:ascii="Times New Roman" w:hAnsi="Times New Roman" w:cs="Times New Roman"/>
                        <w:color w:val="0C0000"/>
                        <w:sz w:val="14"/>
                      </w:rPr>
                      <w:t>13.10.2015 ЕСЭДО ГО (версия 7.</w:t>
                    </w:r>
                    <w:r>
                      <w:rPr>
                        <w:rFonts w:ascii="Times New Roman" w:hAnsi="Times New Roman" w:cs="Times New Roman"/>
                        <w:color w:val="0C0000"/>
                        <w:sz w:val="14"/>
                      </w:rPr>
                      <w:t xml:space="preserve">13.2)  </w:t>
                    </w:r>
                  </w:p>
                </w:txbxContent>
              </v:textbox>
            </v:shape>
          </w:pict>
        </mc:Fallback>
      </mc:AlternateContent>
    </w:r>
    <w:r w:rsidRPr="000C236C">
      <w:rPr>
        <w:rFonts w:ascii="Times New Roman" w:hAnsi="Times New Roman" w:cs="Times New Roman"/>
        <w:sz w:val="24"/>
        <w:szCs w:val="24"/>
      </w:rPr>
      <w:fldChar w:fldCharType="begin"/>
    </w:r>
    <w:r w:rsidRPr="000C236C">
      <w:rPr>
        <w:rFonts w:ascii="Times New Roman" w:hAnsi="Times New Roman" w:cs="Times New Roman"/>
        <w:sz w:val="24"/>
        <w:szCs w:val="24"/>
      </w:rPr>
      <w:instrText xml:space="preserve"> PAGE   \* MERGEFORMAT </w:instrText>
    </w:r>
    <w:r w:rsidRPr="000C236C">
      <w:rPr>
        <w:rFonts w:ascii="Times New Roman" w:hAnsi="Times New Roman" w:cs="Times New Roman"/>
        <w:sz w:val="24"/>
        <w:szCs w:val="24"/>
      </w:rPr>
      <w:fldChar w:fldCharType="separate"/>
    </w:r>
    <w:r w:rsidR="0009331D">
      <w:rPr>
        <w:rFonts w:ascii="Times New Roman" w:hAnsi="Times New Roman" w:cs="Times New Roman"/>
        <w:noProof/>
        <w:sz w:val="24"/>
        <w:szCs w:val="24"/>
      </w:rPr>
      <w:t>9</w:t>
    </w:r>
    <w:r w:rsidRPr="000C236C">
      <w:rPr>
        <w:rFonts w:ascii="Times New Roman" w:hAnsi="Times New Roman" w:cs="Times New Roman"/>
        <w:sz w:val="24"/>
        <w:szCs w:val="24"/>
      </w:rPr>
      <w:fldChar w:fldCharType="end"/>
    </w:r>
  </w:p>
  <w:p w:rsidR="000C236C" w:rsidRDefault="003C573C" w:rsidP="000C236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62BD9"/>
    <w:multiLevelType w:val="multilevel"/>
    <w:tmpl w:val="184200E0"/>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 w15:restartNumberingAfterBreak="0">
    <w:nsid w:val="43B36CBC"/>
    <w:multiLevelType w:val="hybridMultilevel"/>
    <w:tmpl w:val="A0382066"/>
    <w:lvl w:ilvl="0" w:tplc="80A6FC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55E91CB8"/>
    <w:multiLevelType w:val="hybridMultilevel"/>
    <w:tmpl w:val="4588D222"/>
    <w:lvl w:ilvl="0" w:tplc="0F7EC11A">
      <w:start w:val="1"/>
      <w:numFmt w:val="decimal"/>
      <w:lvlText w:val="%1."/>
      <w:lvlJc w:val="left"/>
      <w:pPr>
        <w:ind w:left="928" w:hanging="360"/>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674F13E7"/>
    <w:multiLevelType w:val="hybridMultilevel"/>
    <w:tmpl w:val="22A2FC72"/>
    <w:lvl w:ilvl="0" w:tplc="1220ACC2">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AB"/>
    <w:rsid w:val="0009331D"/>
    <w:rsid w:val="003C573C"/>
    <w:rsid w:val="004044AB"/>
    <w:rsid w:val="00AC2B25"/>
    <w:rsid w:val="00B219A7"/>
    <w:rsid w:val="00E33379"/>
    <w:rsid w:val="00FC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96893"/>
  <w15:chartTrackingRefBased/>
  <w15:docId w15:val="{18C9E129-F703-44B6-8F8B-C944E225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B25"/>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AC2B25"/>
    <w:rPr>
      <w:rFonts w:ascii="Times New Roman" w:hAnsi="Times New Roman"/>
      <w:sz w:val="26"/>
      <w:shd w:val="clear" w:color="auto" w:fill="FFFFFF"/>
    </w:rPr>
  </w:style>
  <w:style w:type="character" w:customStyle="1" w:styleId="1">
    <w:name w:val="Заголовок №1_"/>
    <w:link w:val="10"/>
    <w:uiPriority w:val="99"/>
    <w:locked/>
    <w:rsid w:val="00AC2B25"/>
    <w:rPr>
      <w:rFonts w:ascii="Franklin Gothic Book" w:hAnsi="Franklin Gothic Book"/>
      <w:sz w:val="28"/>
      <w:shd w:val="clear" w:color="auto" w:fill="FFFFFF"/>
    </w:rPr>
  </w:style>
  <w:style w:type="character" w:customStyle="1" w:styleId="20">
    <w:name w:val="Заголовок №2_"/>
    <w:link w:val="21"/>
    <w:uiPriority w:val="99"/>
    <w:locked/>
    <w:rsid w:val="00AC2B25"/>
    <w:rPr>
      <w:rFonts w:ascii="Times New Roman" w:hAnsi="Times New Roman"/>
      <w:spacing w:val="10"/>
      <w:sz w:val="26"/>
      <w:shd w:val="clear" w:color="auto" w:fill="FFFFFF"/>
    </w:rPr>
  </w:style>
  <w:style w:type="character" w:customStyle="1" w:styleId="5">
    <w:name w:val="Основной текст (5)_"/>
    <w:link w:val="50"/>
    <w:uiPriority w:val="99"/>
    <w:locked/>
    <w:rsid w:val="00AC2B25"/>
    <w:rPr>
      <w:rFonts w:ascii="Times New Roman" w:hAnsi="Times New Roman"/>
      <w:spacing w:val="10"/>
      <w:sz w:val="26"/>
      <w:shd w:val="clear" w:color="auto" w:fill="FFFFFF"/>
    </w:rPr>
  </w:style>
  <w:style w:type="paragraph" w:customStyle="1" w:styleId="2">
    <w:name w:val="Основной текст2"/>
    <w:basedOn w:val="a"/>
    <w:link w:val="a3"/>
    <w:uiPriority w:val="99"/>
    <w:rsid w:val="00AC2B25"/>
    <w:pPr>
      <w:shd w:val="clear" w:color="auto" w:fill="FFFFFF"/>
      <w:spacing w:before="360" w:line="317" w:lineRule="exact"/>
      <w:ind w:hanging="260"/>
      <w:jc w:val="center"/>
    </w:pPr>
    <w:rPr>
      <w:rFonts w:ascii="Times New Roman" w:eastAsiaTheme="minorHAnsi" w:hAnsi="Times New Roman" w:cstheme="minorBidi"/>
      <w:color w:val="auto"/>
      <w:sz w:val="26"/>
      <w:szCs w:val="22"/>
      <w:lang w:eastAsia="en-US"/>
    </w:rPr>
  </w:style>
  <w:style w:type="paragraph" w:customStyle="1" w:styleId="10">
    <w:name w:val="Заголовок №1"/>
    <w:basedOn w:val="a"/>
    <w:link w:val="1"/>
    <w:uiPriority w:val="99"/>
    <w:rsid w:val="00AC2B25"/>
    <w:pPr>
      <w:shd w:val="clear" w:color="auto" w:fill="FFFFFF"/>
      <w:spacing w:after="3720" w:line="317" w:lineRule="exact"/>
      <w:jc w:val="both"/>
      <w:outlineLvl w:val="0"/>
    </w:pPr>
    <w:rPr>
      <w:rFonts w:ascii="Franklin Gothic Book" w:eastAsiaTheme="minorHAnsi" w:hAnsi="Franklin Gothic Book" w:cstheme="minorBidi"/>
      <w:color w:val="auto"/>
      <w:sz w:val="28"/>
      <w:szCs w:val="22"/>
      <w:lang w:eastAsia="en-US"/>
    </w:rPr>
  </w:style>
  <w:style w:type="paragraph" w:customStyle="1" w:styleId="21">
    <w:name w:val="Заголовок №2"/>
    <w:basedOn w:val="a"/>
    <w:link w:val="20"/>
    <w:uiPriority w:val="99"/>
    <w:rsid w:val="00AC2B25"/>
    <w:pPr>
      <w:shd w:val="clear" w:color="auto" w:fill="FFFFFF"/>
      <w:spacing w:after="360" w:line="240" w:lineRule="atLeast"/>
      <w:jc w:val="both"/>
      <w:outlineLvl w:val="1"/>
    </w:pPr>
    <w:rPr>
      <w:rFonts w:ascii="Times New Roman" w:eastAsiaTheme="minorHAnsi" w:hAnsi="Times New Roman" w:cstheme="minorBidi"/>
      <w:color w:val="auto"/>
      <w:spacing w:val="10"/>
      <w:sz w:val="26"/>
      <w:szCs w:val="22"/>
      <w:lang w:eastAsia="en-US"/>
    </w:rPr>
  </w:style>
  <w:style w:type="paragraph" w:customStyle="1" w:styleId="50">
    <w:name w:val="Основной текст (5)"/>
    <w:basedOn w:val="a"/>
    <w:link w:val="5"/>
    <w:uiPriority w:val="99"/>
    <w:rsid w:val="00AC2B25"/>
    <w:pPr>
      <w:shd w:val="clear" w:color="auto" w:fill="FFFFFF"/>
      <w:spacing w:before="300" w:after="60" w:line="240" w:lineRule="atLeast"/>
      <w:jc w:val="both"/>
    </w:pPr>
    <w:rPr>
      <w:rFonts w:ascii="Times New Roman" w:eastAsiaTheme="minorHAnsi" w:hAnsi="Times New Roman" w:cstheme="minorBidi"/>
      <w:color w:val="auto"/>
      <w:spacing w:val="10"/>
      <w:sz w:val="26"/>
      <w:szCs w:val="22"/>
      <w:lang w:eastAsia="en-US"/>
    </w:rPr>
  </w:style>
  <w:style w:type="paragraph" w:styleId="a4">
    <w:name w:val="header"/>
    <w:basedOn w:val="a"/>
    <w:link w:val="a5"/>
    <w:uiPriority w:val="99"/>
    <w:rsid w:val="00AC2B25"/>
    <w:pPr>
      <w:tabs>
        <w:tab w:val="center" w:pos="4677"/>
        <w:tab w:val="right" w:pos="9355"/>
      </w:tabs>
    </w:pPr>
    <w:rPr>
      <w:sz w:val="20"/>
      <w:szCs w:val="20"/>
    </w:rPr>
  </w:style>
  <w:style w:type="character" w:customStyle="1" w:styleId="a5">
    <w:name w:val="Верхний колонтитул Знак"/>
    <w:basedOn w:val="a0"/>
    <w:link w:val="a4"/>
    <w:uiPriority w:val="99"/>
    <w:rsid w:val="00AC2B25"/>
    <w:rPr>
      <w:rFonts w:ascii="Courier New" w:eastAsia="Times New Roman" w:hAnsi="Courier New" w:cs="Courier New"/>
      <w:color w:val="000000"/>
      <w:sz w:val="20"/>
      <w:szCs w:val="20"/>
      <w:lang w:val="en" w:eastAsia="ru-RU"/>
    </w:rPr>
  </w:style>
  <w:style w:type="paragraph" w:customStyle="1" w:styleId="Default">
    <w:name w:val="Default"/>
    <w:uiPriority w:val="99"/>
    <w:rsid w:val="00AC2B25"/>
    <w:pPr>
      <w:autoSpaceDE w:val="0"/>
      <w:autoSpaceDN w:val="0"/>
      <w:adjustRightInd w:val="0"/>
      <w:spacing w:after="0" w:line="240" w:lineRule="auto"/>
    </w:pPr>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3253</Words>
  <Characters>18546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2023-05-29T06:20:00Z</dcterms:created>
  <dcterms:modified xsi:type="dcterms:W3CDTF">2023-05-29T07:04:00Z</dcterms:modified>
</cp:coreProperties>
</file>